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880787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 </w:t>
            </w:r>
            <w:r w:rsidR="00DF0FD4">
              <w:rPr>
                <w:color w:val="000000"/>
              </w:rPr>
              <w:t>15.12</w:t>
            </w:r>
            <w:r>
              <w:rPr>
                <w:color w:val="000000"/>
              </w:rPr>
              <w:t>.2017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DF0FD4">
              <w:rPr>
                <w:b/>
                <w:bCs/>
                <w:color w:val="000000"/>
              </w:rPr>
              <w:t>8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201</w:t>
            </w:r>
            <w:r w:rsidR="00DF0FD4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-20</w:t>
            </w:r>
            <w:r w:rsidR="00DF0FD4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>
      <w:r>
        <w:t xml:space="preserve">                          </w:t>
      </w:r>
    </w:p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DF0FD4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2018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8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3609,7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000 2 0220000</w:t>
            </w:r>
            <w:r w:rsidRPr="00706DB9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06DB9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3873,6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</w:tbl>
    <w:p w:rsidR="007350B3" w:rsidRPr="00B71B3C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Pr="00B71B3C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Pr="00B71B3C" w:rsidRDefault="007350B3" w:rsidP="007350B3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F0FD4">
              <w:rPr>
                <w:color w:val="000000"/>
              </w:rPr>
              <w:t>154</w:t>
            </w:r>
            <w:r w:rsidRPr="00B71B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</w:t>
            </w:r>
            <w:r>
              <w:rPr>
                <w:color w:val="000000"/>
              </w:rPr>
              <w:t>.2017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B71B3C" w:rsidTr="00DF0FD4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Pr="00B71B3C" w:rsidRDefault="007350B3" w:rsidP="00DF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DF0FD4" w:rsidRDefault="00DF0FD4" w:rsidP="007350B3"/>
    <w:p w:rsidR="00DF0FD4" w:rsidRDefault="00DF0FD4" w:rsidP="007350B3"/>
    <w:p w:rsidR="007350B3" w:rsidRDefault="007350B3" w:rsidP="007350B3"/>
    <w:tbl>
      <w:tblPr>
        <w:tblW w:w="10221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393"/>
        <w:gridCol w:w="151"/>
        <w:gridCol w:w="558"/>
        <w:gridCol w:w="425"/>
        <w:gridCol w:w="426"/>
        <w:gridCol w:w="141"/>
        <w:gridCol w:w="142"/>
        <w:gridCol w:w="425"/>
      </w:tblGrid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>
              <w:rPr>
                <w:color w:val="000000"/>
              </w:rPr>
              <w:t xml:space="preserve">  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</w:tr>
      <w:tr w:rsidR="007350B3" w:rsidTr="00DF0FD4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7350B3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</w:tr>
      <w:tr w:rsidR="007350B3" w:rsidTr="00DF0FD4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50B3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Tr="00DF0FD4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</w:tr>
      <w:tr w:rsidR="007350B3" w:rsidTr="00DF0FD4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</w:tr>
      <w:tr w:rsidR="007350B3" w:rsidTr="00DF0FD4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7350B3" w:rsidTr="00DF0FD4">
        <w:trPr>
          <w:trHeight w:val="1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</w:tr>
      <w:tr w:rsidR="007350B3" w:rsidTr="00DF0FD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</w:tr>
      <w:tr w:rsidR="007350B3" w:rsidTr="00DF0FD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Default="007350B3" w:rsidP="00E30047">
            <w:pPr>
              <w:rPr>
                <w:color w:val="000000"/>
              </w:rPr>
            </w:pPr>
          </w:p>
          <w:p w:rsidR="00E30047" w:rsidRDefault="00E30047" w:rsidP="00E30047">
            <w:pPr>
              <w:rPr>
                <w:color w:val="000000"/>
              </w:rPr>
            </w:pPr>
          </w:p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7350B3" w:rsidRPr="00D76478" w:rsidTr="00DF0FD4">
        <w:trPr>
          <w:gridAfter w:val="2"/>
          <w:wAfter w:w="567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DF0FD4"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0FD4"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0FD4"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0FD4"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3873,6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424DFA">
        <w:trPr>
          <w:trHeight w:val="426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76478">
              <w:rPr>
                <w:color w:val="000000"/>
              </w:rPr>
              <w:t>от</w:t>
            </w:r>
            <w:r w:rsidR="00424DFA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2017г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2019-2020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0B3" w:rsidRPr="00D76478" w:rsidTr="00DF0FD4">
        <w:trPr>
          <w:gridAfter w:val="3"/>
          <w:wAfter w:w="708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7350B3" w:rsidRPr="00D76478" w:rsidTr="00DF0FD4">
        <w:trPr>
          <w:gridAfter w:val="3"/>
          <w:wAfter w:w="708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283"/>
        <w:gridCol w:w="1134"/>
        <w:gridCol w:w="142"/>
        <w:gridCol w:w="1134"/>
      </w:tblGrid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="00E30047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424DFA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D76478" w:rsidTr="00DF0FD4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7350B3" w:rsidRPr="00D76478" w:rsidTr="00DF0FD4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  <w:r w:rsidR="007350B3">
              <w:rPr>
                <w:b/>
                <w:bCs/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350B3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350B3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5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350B3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1451,7</w:t>
            </w:r>
          </w:p>
        </w:tc>
      </w:tr>
      <w:tr w:rsidR="007350B3" w:rsidRPr="00D76478" w:rsidTr="00DF0FD4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1451,7</w:t>
            </w:r>
          </w:p>
        </w:tc>
      </w:tr>
      <w:tr w:rsidR="007350B3" w:rsidRPr="00D76478" w:rsidTr="00DF0FD4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1451,7</w:t>
            </w:r>
          </w:p>
        </w:tc>
      </w:tr>
      <w:tr w:rsidR="007350B3" w:rsidRPr="00D76478" w:rsidTr="00DF0FD4">
        <w:trPr>
          <w:trHeight w:val="6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D76478" w:rsidTr="00DF0FD4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C07F27" w:rsidP="00E30047">
            <w:pPr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</w:tr>
      <w:tr w:rsidR="00C07F27" w:rsidRPr="00D76478" w:rsidTr="00DF0FD4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4D3EE4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C07F27" w:rsidP="00E30047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7350B3" w:rsidRPr="00D76478" w:rsidTr="00C07F27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7350B3" w:rsidRPr="00D76478" w:rsidTr="00DF0FD4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</w:tr>
      <w:tr w:rsidR="007350B3" w:rsidRPr="00D76478" w:rsidTr="00DF0FD4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350B3">
              <w:rPr>
                <w:b/>
                <w:bCs/>
                <w:color w:val="000000"/>
              </w:rPr>
              <w:t>0,0</w:t>
            </w: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D76478" w:rsidTr="00DF0FD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2051,3</w:t>
            </w:r>
          </w:p>
        </w:tc>
      </w:tr>
      <w:tr w:rsidR="007350B3" w:rsidRPr="00D76478" w:rsidTr="00DF0FD4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D76478" w:rsidTr="00DF0FD4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7350B3" w:rsidRPr="00D76478" w:rsidTr="00DF0FD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D76478" w:rsidTr="00DF0FD4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350B3" w:rsidRPr="00D76478" w:rsidTr="00DF0FD4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D76478" w:rsidTr="00DF0FD4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7350B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350B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7350B3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D76478" w:rsidTr="00DF0FD4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7350B3" w:rsidRPr="00D76478" w:rsidTr="00DF0FD4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E3004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E30047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>от</w:t>
            </w:r>
            <w:r w:rsidR="00E3004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E3004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</w:tr>
      <w:tr w:rsidR="007350B3" w:rsidRPr="008E47EF" w:rsidTr="00DF0FD4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9-2020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7350B3" w:rsidRPr="008E47EF" w:rsidTr="00DF0FD4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E47EF" w:rsidTr="00DF0FD4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E47EF" w:rsidTr="00DF0FD4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2003,9</w:t>
            </w:r>
          </w:p>
        </w:tc>
      </w:tr>
      <w:tr w:rsidR="007350B3" w:rsidRPr="008E47EF" w:rsidTr="00DF0FD4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E47EF" w:rsidTr="00DF0FD4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E47EF" w:rsidTr="00DF0FD4">
        <w:trPr>
          <w:gridAfter w:val="3"/>
          <w:wAfter w:w="1101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E47EF" w:rsidTr="00DF0FD4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E47EF" w:rsidTr="00DF0FD4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7350B3" w:rsidRPr="008E47EF" w:rsidTr="00DF0FD4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4040">
              <w:rPr>
                <w:color w:val="000000"/>
              </w:rPr>
              <w:t>2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E47EF" w:rsidTr="00DF0FD4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7350B3" w:rsidRPr="008E47EF" w:rsidTr="00DF0FD4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24040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 xml:space="preserve">от </w:t>
            </w:r>
            <w:r w:rsidR="00A24040">
              <w:rPr>
                <w:color w:val="000000"/>
              </w:rPr>
              <w:t>15.12.2017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</w:t>
            </w:r>
            <w:r w:rsidR="007350B3" w:rsidRPr="00E030AB">
              <w:rPr>
                <w:bCs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  <w:r w:rsidR="007350B3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350B3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1451,7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7350B3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C07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07F27">
              <w:rPr>
                <w:color w:val="000000"/>
              </w:rPr>
              <w:t>154</w:t>
            </w:r>
            <w:r w:rsidRPr="008E47EF">
              <w:rPr>
                <w:color w:val="000000"/>
              </w:rPr>
              <w:t xml:space="preserve"> от </w:t>
            </w:r>
            <w:r w:rsidR="00C07F2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C07F2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9г-2020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7350B3" w:rsidP="00DF0FD4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  <w:r w:rsidR="007350B3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  <w:rPr>
                <w:b/>
                <w:bCs/>
                <w:color w:val="000000"/>
              </w:rPr>
            </w:pPr>
          </w:p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>
      <w:pPr>
        <w:jc w:val="right"/>
      </w:pPr>
      <w:r>
        <w:lastRenderedPageBreak/>
        <w:t xml:space="preserve">Приложение № 11 к Решению </w:t>
      </w:r>
    </w:p>
    <w:p w:rsidR="007350B3" w:rsidRDefault="007350B3" w:rsidP="007350B3">
      <w:pPr>
        <w:jc w:val="right"/>
      </w:pPr>
      <w:r>
        <w:t xml:space="preserve">Совета Новогоряновского </w:t>
      </w:r>
    </w:p>
    <w:p w:rsidR="007350B3" w:rsidRDefault="007350B3" w:rsidP="007350B3">
      <w:pPr>
        <w:jc w:val="right"/>
      </w:pPr>
      <w:r>
        <w:t xml:space="preserve">сельского поселения </w:t>
      </w:r>
    </w:p>
    <w:p w:rsidR="007350B3" w:rsidRDefault="007350B3" w:rsidP="007350B3">
      <w:pPr>
        <w:jc w:val="right"/>
      </w:pPr>
      <w:r>
        <w:t xml:space="preserve">№ </w:t>
      </w:r>
      <w:r w:rsidR="00C07F27">
        <w:t xml:space="preserve">154 </w:t>
      </w:r>
      <w:r>
        <w:t xml:space="preserve">от </w:t>
      </w:r>
      <w:r w:rsidR="00C07F27">
        <w:t>15.12.</w:t>
      </w:r>
      <w:r>
        <w:t>20</w:t>
      </w:r>
      <w:r w:rsidR="00C07F27">
        <w:t>17</w:t>
      </w:r>
      <w:r>
        <w:t>г</w:t>
      </w:r>
    </w:p>
    <w:tbl>
      <w:tblPr>
        <w:tblW w:w="10505" w:type="dxa"/>
        <w:tblInd w:w="93" w:type="dxa"/>
        <w:tblLayout w:type="fixed"/>
        <w:tblLook w:val="04A0"/>
      </w:tblPr>
      <w:tblGrid>
        <w:gridCol w:w="3977"/>
        <w:gridCol w:w="147"/>
        <w:gridCol w:w="708"/>
        <w:gridCol w:w="138"/>
        <w:gridCol w:w="7"/>
        <w:gridCol w:w="564"/>
        <w:gridCol w:w="144"/>
        <w:gridCol w:w="115"/>
        <w:gridCol w:w="308"/>
        <w:gridCol w:w="286"/>
        <w:gridCol w:w="236"/>
        <w:gridCol w:w="986"/>
        <w:gridCol w:w="47"/>
        <w:gridCol w:w="432"/>
        <w:gridCol w:w="423"/>
        <w:gridCol w:w="166"/>
        <w:gridCol w:w="231"/>
        <w:gridCol w:w="31"/>
        <w:gridCol w:w="566"/>
        <w:gridCol w:w="851"/>
        <w:gridCol w:w="142"/>
      </w:tblGrid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5C547A" w:rsidTr="00DF0FD4">
        <w:trPr>
          <w:gridAfter w:val="1"/>
          <w:wAfter w:w="142" w:type="dxa"/>
          <w:trHeight w:val="103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</w:t>
            </w:r>
            <w:r w:rsidR="007350B3">
              <w:rPr>
                <w:bCs/>
                <w:color w:val="000000"/>
              </w:rPr>
              <w:t>0</w:t>
            </w:r>
          </w:p>
        </w:tc>
      </w:tr>
      <w:tr w:rsidR="007350B3" w:rsidRPr="005C547A" w:rsidTr="00DF0FD4">
        <w:trPr>
          <w:gridAfter w:val="1"/>
          <w:wAfter w:w="142" w:type="dxa"/>
          <w:trHeight w:val="26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5C547A" w:rsidTr="00DF0FD4">
        <w:trPr>
          <w:gridAfter w:val="1"/>
          <w:wAfter w:w="142" w:type="dxa"/>
          <w:trHeight w:val="17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7350B3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5C547A" w:rsidTr="00DF0FD4">
        <w:trPr>
          <w:gridAfter w:val="1"/>
          <w:wAfter w:w="142" w:type="dxa"/>
          <w:trHeight w:val="97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350B3" w:rsidRPr="005C547A" w:rsidTr="00DF0FD4">
        <w:trPr>
          <w:gridAfter w:val="1"/>
          <w:wAfter w:w="142" w:type="dxa"/>
          <w:trHeight w:val="1177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5C547A" w:rsidTr="00DF0FD4">
        <w:trPr>
          <w:gridAfter w:val="1"/>
          <w:wAfter w:w="142" w:type="dxa"/>
          <w:trHeight w:val="176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7350B3" w:rsidRPr="005C547A" w:rsidTr="00DF0FD4">
        <w:trPr>
          <w:gridAfter w:val="1"/>
          <w:wAfter w:w="142" w:type="dxa"/>
          <w:trHeight w:val="176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5C547A" w:rsidTr="00DF0FD4">
        <w:trPr>
          <w:gridAfter w:val="1"/>
          <w:wAfter w:w="142" w:type="dxa"/>
          <w:trHeight w:val="409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7350B3" w:rsidRPr="005C547A" w:rsidTr="00DF0FD4">
        <w:trPr>
          <w:gridAfter w:val="1"/>
          <w:wAfter w:w="142" w:type="dxa"/>
          <w:trHeight w:val="13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5C547A" w:rsidTr="00DF0FD4">
        <w:trPr>
          <w:gridAfter w:val="1"/>
          <w:wAfter w:w="142" w:type="dxa"/>
          <w:trHeight w:val="1101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350B3" w:rsidRPr="005C547A" w:rsidTr="00DF0FD4">
        <w:trPr>
          <w:gridAfter w:val="1"/>
          <w:wAfter w:w="142" w:type="dxa"/>
          <w:trHeight w:val="69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</w:t>
            </w:r>
            <w:r w:rsidRPr="005C547A">
              <w:rPr>
                <w:color w:val="000000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</w:tr>
      <w:tr w:rsidR="00C07F27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7350B3" w:rsidRPr="005C547A" w:rsidTr="00DF0FD4">
        <w:trPr>
          <w:gridAfter w:val="1"/>
          <w:wAfter w:w="142" w:type="dxa"/>
          <w:trHeight w:val="83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FA797C" w:rsidRDefault="00FA797C" w:rsidP="00DF0FD4">
            <w:pPr>
              <w:jc w:val="right"/>
              <w:rPr>
                <w:color w:val="000000"/>
              </w:rPr>
            </w:pPr>
          </w:p>
          <w:p w:rsidR="007350B3" w:rsidRPr="008D40BD" w:rsidRDefault="007350B3" w:rsidP="00DF0FD4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от</w:t>
            </w:r>
            <w:r w:rsidR="00FA797C">
              <w:rPr>
                <w:color w:val="000000"/>
              </w:rPr>
              <w:t>15.12.</w:t>
            </w:r>
            <w:r w:rsidRPr="008D40BD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7350B3" w:rsidRPr="008D40BD" w:rsidTr="00DF0FD4">
        <w:trPr>
          <w:trHeight w:val="510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7350B3" w:rsidRPr="008D40BD" w:rsidTr="00DF0FD4">
        <w:trPr>
          <w:trHeight w:val="26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D40BD" w:rsidTr="00DF0FD4">
        <w:trPr>
          <w:trHeight w:val="174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106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D40BD" w:rsidTr="00DF0FD4">
        <w:trPr>
          <w:trHeight w:val="69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97C">
              <w:rPr>
                <w:color w:val="000000"/>
              </w:rPr>
              <w:t>28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4236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D40BD" w:rsidTr="00DF0FD4">
        <w:trPr>
          <w:trHeight w:val="285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D40BD" w:rsidTr="00DF0FD4">
        <w:trPr>
          <w:trHeight w:val="18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FA797C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 w:rsidRPr="00DE7B14">
              <w:rPr>
                <w:color w:val="000000"/>
              </w:rPr>
              <w:t xml:space="preserve"> от </w:t>
            </w:r>
            <w:r w:rsidR="00FA797C">
              <w:rPr>
                <w:color w:val="000000"/>
              </w:rPr>
              <w:t>15.12.</w:t>
            </w:r>
            <w:r w:rsidRPr="00DE7B14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DE7B14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363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604"/>
      </w:tblGrid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FA7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 xml:space="preserve">154 </w:t>
            </w:r>
            <w:r w:rsidRPr="000D4E32">
              <w:rPr>
                <w:color w:val="000000"/>
              </w:rPr>
              <w:t xml:space="preserve">от </w:t>
            </w:r>
            <w:r w:rsidR="00FA797C">
              <w:rPr>
                <w:color w:val="000000"/>
              </w:rPr>
              <w:t>15.12.</w:t>
            </w:r>
            <w:r w:rsidRPr="000D4E32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0D4E32">
              <w:rPr>
                <w:color w:val="000000"/>
              </w:rPr>
              <w:t>г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8-2020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7350B3" w:rsidRPr="000D4E32" w:rsidTr="00DF0FD4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</w:tr>
    </w:tbl>
    <w:p w:rsidR="007350B3" w:rsidRPr="000D4E32" w:rsidRDefault="007350B3" w:rsidP="007350B3"/>
    <w:p w:rsidR="007350B3" w:rsidRPr="000D4E32" w:rsidRDefault="007350B3" w:rsidP="007350B3"/>
    <w:tbl>
      <w:tblPr>
        <w:tblW w:w="10080" w:type="dxa"/>
        <w:tblInd w:w="93" w:type="dxa"/>
        <w:tblLook w:val="04A0"/>
      </w:tblPr>
      <w:tblGrid>
        <w:gridCol w:w="2680"/>
        <w:gridCol w:w="2580"/>
        <w:gridCol w:w="2268"/>
        <w:gridCol w:w="2552"/>
      </w:tblGrid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19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0D4E32" w:rsidTr="00DF0FD4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8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7350B3" w:rsidRPr="000D4E32" w:rsidTr="00DF0FD4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7350B3" w:rsidRPr="000D4E32" w:rsidRDefault="007350B3" w:rsidP="007350B3"/>
    <w:p w:rsidR="007350B3" w:rsidRDefault="007350B3" w:rsidP="007350B3"/>
    <w:sectPr w:rsidR="007350B3" w:rsidSect="00DF0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350B3"/>
    <w:rsid w:val="002D3417"/>
    <w:rsid w:val="002E1286"/>
    <w:rsid w:val="00424DFA"/>
    <w:rsid w:val="00454218"/>
    <w:rsid w:val="004E0E52"/>
    <w:rsid w:val="00505C77"/>
    <w:rsid w:val="005072DA"/>
    <w:rsid w:val="007350B3"/>
    <w:rsid w:val="009055B2"/>
    <w:rsid w:val="0095032E"/>
    <w:rsid w:val="00A24040"/>
    <w:rsid w:val="00C07F27"/>
    <w:rsid w:val="00CB0EEC"/>
    <w:rsid w:val="00DF0FD4"/>
    <w:rsid w:val="00E30047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C973-1132-4E11-8FA7-552E33B3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3</cp:revision>
  <dcterms:created xsi:type="dcterms:W3CDTF">2017-12-25T08:44:00Z</dcterms:created>
  <dcterms:modified xsi:type="dcterms:W3CDTF">2017-12-25T08:44:00Z</dcterms:modified>
</cp:coreProperties>
</file>