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37" w:rsidRDefault="006D0137" w:rsidP="006D0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21694">
        <w:rPr>
          <w:rFonts w:ascii="Times New Roman" w:hAnsi="Times New Roman" w:cs="Times New Roman"/>
          <w:b/>
          <w:sz w:val="28"/>
          <w:szCs w:val="28"/>
        </w:rPr>
        <w:t>Избирательная комиссия                                                                                 Новогоряновского сельского поселения                                                                  Тейковского муниципального района Ивановской области</w:t>
      </w:r>
    </w:p>
    <w:p w:rsidR="006D0137" w:rsidRDefault="006D0137" w:rsidP="006D0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0137" w:rsidRDefault="006D0137" w:rsidP="006D0137">
      <w:pPr>
        <w:tabs>
          <w:tab w:val="left" w:pos="55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D0137" w:rsidRDefault="006D0137" w:rsidP="006D0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июня 2015г                                                                                                                   № 9</w:t>
      </w:r>
    </w:p>
    <w:p w:rsidR="006D0137" w:rsidRDefault="006D0137" w:rsidP="006D0137">
      <w:pPr>
        <w:rPr>
          <w:rFonts w:ascii="Times New Roman" w:hAnsi="Times New Roman" w:cs="Times New Roman"/>
          <w:sz w:val="24"/>
          <w:szCs w:val="24"/>
        </w:rPr>
      </w:pPr>
    </w:p>
    <w:p w:rsidR="006D0137" w:rsidRDefault="006D0137" w:rsidP="006D0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69C">
        <w:rPr>
          <w:rFonts w:ascii="Times New Roman" w:hAnsi="Times New Roman" w:cs="Times New Roman"/>
          <w:b/>
          <w:sz w:val="24"/>
          <w:szCs w:val="24"/>
        </w:rPr>
        <w:t>О календарном плане мероприятий по подготовке и проведению выборов депутатов Новогоряновского сельского поселения третьего созыва</w:t>
      </w:r>
    </w:p>
    <w:p w:rsidR="006D0137" w:rsidRDefault="006D0137" w:rsidP="006D0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137" w:rsidRDefault="006D0137" w:rsidP="006D0137">
      <w:pPr>
        <w:rPr>
          <w:rFonts w:ascii="Times New Roman" w:hAnsi="Times New Roman" w:cs="Times New Roman"/>
          <w:sz w:val="24"/>
          <w:szCs w:val="24"/>
        </w:rPr>
      </w:pPr>
      <w:r w:rsidRPr="0005769C">
        <w:rPr>
          <w:rFonts w:ascii="Times New Roman" w:hAnsi="Times New Roman" w:cs="Times New Roman"/>
          <w:sz w:val="24"/>
          <w:szCs w:val="24"/>
        </w:rPr>
        <w:t xml:space="preserve">     В соответствии с п.10 статьи 24 Федерального закона от 12.06.2002 № 67-ФЗ</w:t>
      </w:r>
      <w:r>
        <w:rPr>
          <w:rFonts w:ascii="Times New Roman" w:hAnsi="Times New Roman" w:cs="Times New Roman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действующей редакции), статьей 13 Закона Ивановской области от 13.07.2007г № 98-ОЗ «О системе избирательных комиссий в Ивановской области» ( в действующей редакции) избирательная комиссия Новогоряновского сельского поселения РЕШИЛА:</w:t>
      </w:r>
    </w:p>
    <w:p w:rsidR="006D0137" w:rsidRDefault="006D0137" w:rsidP="006D01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календарный лан мероприятий по подготовке и проведению выборов депутатов Совета Новогоряновского сельского поселения третьего созыв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6D0137" w:rsidRPr="0005769C" w:rsidRDefault="006D0137" w:rsidP="006D01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календарный план мероприятий по подготовке и проведению выборов депутатов Совета Новогоряновского сельского поселения третьего созыва на информационном стенде избирательной комиссии Новогоряновского сельского поселения и в информационно-телекоммуникационной сети общего пользования «Интернет».</w:t>
      </w:r>
    </w:p>
    <w:p w:rsidR="006D0137" w:rsidRPr="00ED01C5" w:rsidRDefault="006D0137" w:rsidP="006D0137">
      <w:pPr>
        <w:rPr>
          <w:rFonts w:ascii="Times New Roman" w:hAnsi="Times New Roman" w:cs="Times New Roman"/>
          <w:sz w:val="24"/>
          <w:szCs w:val="24"/>
        </w:rPr>
      </w:pPr>
    </w:p>
    <w:p w:rsidR="006D0137" w:rsidRDefault="006D0137" w:rsidP="006D01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137" w:rsidRDefault="006D0137" w:rsidP="006D01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137" w:rsidRDefault="006D0137" w:rsidP="006D01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137" w:rsidRDefault="006D0137" w:rsidP="006D0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избирательной комиссии                                                                                      Новогоряновского сельского поселения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Ю.В.Хомченко</w:t>
      </w:r>
      <w:proofErr w:type="spellEnd"/>
    </w:p>
    <w:p w:rsidR="006D0137" w:rsidRDefault="006D0137" w:rsidP="006D0137">
      <w:pPr>
        <w:rPr>
          <w:rFonts w:ascii="Times New Roman" w:hAnsi="Times New Roman" w:cs="Times New Roman"/>
          <w:sz w:val="24"/>
          <w:szCs w:val="24"/>
        </w:rPr>
      </w:pPr>
    </w:p>
    <w:p w:rsidR="006D0137" w:rsidRDefault="006D0137" w:rsidP="006D0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избирательной комиссии                                                                                               Новогоряновского сельского поселения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З.Г.Зотчева</w:t>
      </w:r>
      <w:proofErr w:type="spellEnd"/>
    </w:p>
    <w:p w:rsidR="006D0137" w:rsidRDefault="006D0137" w:rsidP="006D01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137" w:rsidRDefault="006D0137" w:rsidP="006D01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6D01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0137" w:rsidRPr="006D0137" w:rsidRDefault="006D0137" w:rsidP="006D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КАЛЕНДАРНЫЙ ПЛАН</w:t>
      </w:r>
    </w:p>
    <w:p w:rsidR="006D0137" w:rsidRPr="006D0137" w:rsidRDefault="006D0137" w:rsidP="006D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подготовке и проведению выборов депутатов Совета Новогоряновского сельского поселения      третьего созыва </w:t>
      </w:r>
    </w:p>
    <w:p w:rsidR="006D0137" w:rsidRPr="006D0137" w:rsidRDefault="006D0137" w:rsidP="006D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137" w:rsidRPr="006D0137" w:rsidRDefault="006D0137" w:rsidP="006D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официального опубликования решения Совета Новогоряновского сельского поселения о назначении выборов  депутатов Совета Новогоряновского сельского поселения третьего созыва от 23.06.2015 № 350- </w:t>
      </w:r>
    </w:p>
    <w:p w:rsidR="006D0137" w:rsidRPr="006D0137" w:rsidRDefault="006D0137" w:rsidP="006D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«24» июня 2015 года</w:t>
      </w:r>
    </w:p>
    <w:p w:rsidR="006D0137" w:rsidRPr="006D0137" w:rsidRDefault="006D0137" w:rsidP="006D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137" w:rsidRPr="006D0137" w:rsidRDefault="006D0137" w:rsidP="006D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137" w:rsidRPr="006D0137" w:rsidRDefault="006D0137" w:rsidP="006D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голосования – 13 сентября 2015 года</w:t>
      </w:r>
    </w:p>
    <w:p w:rsidR="006D0137" w:rsidRPr="006D0137" w:rsidRDefault="006D0137" w:rsidP="006D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2"/>
        <w:gridCol w:w="5588"/>
        <w:gridCol w:w="3788"/>
        <w:gridCol w:w="4252"/>
      </w:tblGrid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D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списков избирательных участков с указанием их границ (если избирательный участок образован </w:t>
            </w:r>
            <w:proofErr w:type="gram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части территории</w:t>
            </w:r>
            <w:proofErr w:type="gramEnd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населенного пункта) либо перечня населенных пунктов (если избирательный участок образован на территориях одного или нескольких населенных пунктов), номеров, мест нахождения участковых комиссий и помещений для голосования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 августа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 поселения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Представление сведений об избирателях в территориальные избирательные комиссии для составления списков избирателей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 сентября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первых экземпляров списков избирателей соответствующим участковым избирательным комиссиям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сентября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Представление в участковые избирательные комиссии избирательных участков, на которых голосуют избиратели, находящиеся в местах временного пребывания, сведений об этих </w:t>
            </w:r>
            <w:r w:rsidRPr="006D01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избирателях для составления и уточнения списков избирателей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избирателям списков избирателей для ознакомления и дополнительного уточнения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2 сентября 2015 года, а в случае составления списка позднее этого срока – непосредственно после составления списка избирателей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списков избирателей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получения списка избирателей из избирательной комиссии муниципального образования (его составления участковой избирательной комиссией) и до окончания времени голосования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18.00 часов 12 сентября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Председатели, секретари участковых избирательных комиссий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подписания списка избирателей, но не позднее 18.00 часов 12 сентября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участковых избирательных комиссий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государственных  или муниципальных периодических печатных изданиях, размещение в сети «Интернет» и направление в избирательную комиссию муниципального образования списка избирательных объединений, имеющих право принимать участие в выборах депутатов  по состоянию на день официального опубликования решения о назначении выборов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три дня со дня официального опубликования (публикации) решения о назначении выборов</w:t>
            </w:r>
          </w:p>
          <w:p w:rsidR="006D0137" w:rsidRPr="006D0137" w:rsidRDefault="006D0137" w:rsidP="006D013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Минюста России по Ивановской области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Самовыдвижение кандидатов в многомандатных избирательных округах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дня, следующего за днем официального опубликования решения о назначении выборов, но не ранее дня официального </w:t>
            </w: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опубликования (обнародования) схемы избирательных округов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позднее 18.00 часов 29 июля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 Российской Федерации, обладающие пассивным избирательным правом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кандидатов в многомандатных избирательных округах избирательным объединением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дня, следующего за днем официального опубликования решения о назначении выборов, но не ранее дня официального опубликования (обнародования) схемы избирательных округов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позднее 18.00 часов 29 июля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 подтверждения в письменной форме получения документов, представленных кандидатом при выдвижении, с указанием даты и времени приема, и разрешения на открытие специального избирательного счета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после представления документов</w:t>
            </w:r>
          </w:p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подписей в поддержку кандидата 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дня, следующего за днем уведомления комиссии о выдвижении кандидата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Кандидат, граждане Российской Федерации, избирательные объединения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избирательные комиссии муниципальных образований документов для регистрации кандидатов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18.00 часов по местному времени 3 августа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Заверение каждого подписного листа с подписями избирателей печ</w:t>
            </w:r>
            <w:proofErr w:type="gramEnd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атью избирательной комиссии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подписных листов с подписями избирателей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 подтверждения в письменной форме о приеме избирательных документов, представленных для регистрации, с указанием даты и времени приема, в том числе копии протокола об итогах сбора подписей избирателей с отметкой избирательной комисс</w:t>
            </w:r>
            <w:proofErr w:type="gram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 е</w:t>
            </w:r>
            <w:proofErr w:type="gramEnd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принятии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после приема документов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кандидата, представившего документы для регистрации, о выявившейся неполноте сведений о нем или несоблюдении требований закона к оформлению документов, представленных в избирательную комиссию муниципального образования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три дня до дня заседания, на котором должен рассматриваться вопрос о регистрации кандидата</w:t>
            </w:r>
          </w:p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копии итогового протокола проверки подписных листов кандидату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трое суток до заседания избирательной комиссии, на котором должен рассматриваться вопрос о регистрации кандидата</w:t>
            </w:r>
          </w:p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на внесение уточнений и дополнений в документы, представленные в избирательную комиссию муниципального образования</w:t>
            </w:r>
          </w:p>
          <w:p w:rsidR="006D0137" w:rsidRPr="006D0137" w:rsidRDefault="006D0137" w:rsidP="006D0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за один день 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регистрации кандидата либо об отказе в регистрации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приема документов, необходимых для регистрации кандидата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Избирательная комиссия муниципального образования 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 копии решения об отказе в регистрации кандидата с изложением оснований отказа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 момента принятия решения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48 часов после регистрации 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28 августа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доверенных лиц кандидатом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выдвижения кандидата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Кандидаты, выдвинутые по многомандатным избирательным </w:t>
            </w: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округам, зарегистрированные кандидаты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доверенных лиц кандидатов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избирательную комиссию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пять дней со дня регистрации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уполномоченные представители избирательных объединений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кандидата, выдвинутого по многомандатному избирательному округу, на снятие своей кандидатуры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7 сентября 2015 года (а при наличии вынуждающих к тому обстоятельств - не позднее 11 сентября 2015 года)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Кандидат, выдвинутый по многомандатному избирательному округу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избирательного объединения отозвать кандидата, выдвинутого им по многомандатному избирательному округу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7 сентября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объединение в соответствии с федеральным законом и (или) своим уставом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в суд об отмене регистрации кандидата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4 сентября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образования,</w:t>
            </w:r>
          </w:p>
          <w:p w:rsidR="006D0137" w:rsidRPr="006D0137" w:rsidRDefault="006D0137" w:rsidP="006D01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объединение, список кандидатов которого зарегистрирован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 на опубликование (обнародование) </w:t>
            </w: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Интернет)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8 по 13 сентября 2015 года </w:t>
            </w: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сетях, доступ к которым не ограничен определенным кругом лиц (включая сеть Интернет)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года до момента окончания голосования на территории Ивановской области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пятый день после дня официального опубликования (публикации) решения о назначении выборов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Ивановской области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перечня муниципальных организаций телерадиовещания и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Агитационный период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выдвижения кандидата и до ноля часов по местному времени 12 сентября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 предвыборной агитации на каналах организаций телерадиовещания и в периодических печатных изданиях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августа 2015 года до ноля часов по местному времени 12 сентября 2015 года 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сведений о размере (в валюте Российской Федерации) и других условиях оплаты эфирного времени, печатной площади. Представление указанных сведений и уведомлений о готовности предоставить эфирное время, печатную площадь в избирательную комиссию муниципального образования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30 дней со дня официального опубликования (публикации) решения о назначении выборов 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телерадиовещания и редакции периодических печатных изданий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информации об общем объеме бесплатной печатной площади, которую редакция муниципального периодического печатного издания</w:t>
            </w:r>
          </w:p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для проведения предвыборной агитации, в данном издан</w:t>
            </w:r>
            <w:proofErr w:type="gram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в избирательную комиссию муниципального образования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30 дней после официального опубликования (публикации) решения о назначении выборов 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Редакции муниципальных периодических печатных изданий 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жеребьевки в целях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регистрации кандидатов, но не позднее 13 августа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Редакции муниципальных периодических печатных изданий с участием заинтересованных лиц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жеребьевки в целях распределения бесплатного эфирного времени, предоставленного для проведения совместных агитационных мероприятий и размещения агитационных материалов, между всеми зарегистрированными кандидатами и установления дат и времени выхода в эфир предвыборных агитационных материалов зарегистрированных кандидатов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регистрации кандидатов, но не позднее 13 августа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 с участием представителей муниципальных организаций телерадиовещания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бесплатной печатной площади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августа 2015 года до ноля часов по местному времени 12 сентября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Редакции муниципальных периодических печатных изданий, выходящих не реже одного раза в неделю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эфирного времени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августа 2015 года до ноля часов по местному времени 12 сентября 2015 года 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организации телерадиовещания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соответствующим организациям телерадиовещания и редакциям периодических печатных изданий об отказе от использования эфирного времени и печатной площади 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пять дней до выхода агитационного материала в эфир,  до дня опубликования предвыборного агитационного материала (а если выход агитационного материала в эфир, опубликование предвыборного агитационного материала должны состояться менее чем через пять дней со дня проведения соответствующей жеребьевки, - в день жеребьевки)</w:t>
            </w:r>
          </w:p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филиал Сберегательного банка Российской Федерации платежного документа о перечислении в полном объеме средств в оплату стоимости эфирного времени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два дня до дня предоставления эфирного времени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кандидаты, уполномоченные представители кандидатов по финансовым вопросам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филиал Сберегательного банка Российской Федерации платежного документа о перечислении в полном объеме средств в оплату стоимости печатной площади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четыре дня до дня публикации предвыборного агитационного материала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кандидаты, уполномоченные представители кандидатов по финансовым вопросам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законом 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собраниях, митингах, демонстрациях, шествиях и пикетированиях»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Организатор публичного мероприятия,</w:t>
            </w:r>
          </w:p>
          <w:p w:rsidR="006D0137" w:rsidRPr="006D0137" w:rsidRDefault="006D0137" w:rsidP="006D01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Ивановской области или органы местного самоуправления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о предоставлении помещений для проведения встреч зарегистрированных кандидатов, их доверенных лиц, представителей избирательных объединений, зарегистрировавших списки кандидатов, с избирателями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дней со дня подачи заявки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Собственники, владельцы помещений, указанных в </w:t>
            </w:r>
            <w:proofErr w:type="spell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 и 4 статьи 31 Закона Ивановской области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в письменной форме избирательной комиссии муниципального образования о факте предоставления помещения зарегистрированному кандидату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дня, следующего за днем предоставления помещения зарегистрированному кандидату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Собственники, владельцы помещений, указанных в </w:t>
            </w:r>
            <w:proofErr w:type="spell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 и 4 статьи 31 Закона Ивановской области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сети Интернет информации, содержащейся в уведомлении о факте предоставления зарегистрированному кандидату помещения для проведения встреч с избирателями, или информирование об этом других зарегистрированных кандидатов иным способом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суток с момента получения уведомления о факте предоставления помещения зарегистрированному кандидату, избирательному объединению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зарегистрированных кандидатов о времени и месте встречи с избирателями из числа военнослужащих, организуемой в расположении воинской части либо в военной организации или учреждении (при отсутствии иных пригодных для проведения собраний помещений)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за три дня до проведения встречи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образования, по запросу которой командиры соответствующих воинских частей предоставили здания или помещения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сведений о размере (в валюте Российской Федерации) и других условиях оплаты работ по изготовлению печатных предвыборных агитационных материалов. 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указанных сведений в </w:t>
            </w: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избирательную комиссию муниципального образования.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чем через 30 дней со дня официального опубликования решения о назначении выборов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индивидуальные предприниматели, выполняющие работы (оказывающие услуги) по изготовлению печатных предвыборных агитационных </w:t>
            </w: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экземпляров печатных предвыборных агитационных материалов или их копий, экземпляров аудиовизуальных предвыборных агитационных материалов, фотографий иных предвыборных агитационных материалов в избирательную комиссию муниципального образования 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распространения соответствующих материалов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и оборудование на территории каждого избирательного участка специальных мест (специального места) для размещения печатных предвыборных агитационных материалов 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13 августа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по предложению избирательной комиссии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политической партией, выдвинувшей кандидата, который зарегистрирован избирательной комиссией муниципального образования, своей предвыборной программы не менее чем в одном муниципальном периодическом печатном издании, а также размещение ее в сети Интернет. </w:t>
            </w:r>
            <w:proofErr w:type="gramEnd"/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сентября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партия, выдвинувшая кандидата, который зарегистрирован избирательной комиссией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избирательную комиссию муниципального образования данных учета объемов и стоимости эфирного времени и печатной площади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по 23 сентября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выпуск средств массовой информации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в распоряжение избирательной комиссии муниципального образования средств, выделенных из местного бюджета на подготовку и проведение выборов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в десятидневный срок со дня официального опубликования (публикации) решения о назначении выборов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средств, выделенных на подготовку и проведение выборов, между участковыми </w:t>
            </w: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избирательными комиссиями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28 августа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rPr>
          <w:gridAfter w:val="3"/>
          <w:wAfter w:w="13628" w:type="dxa"/>
          <w:trHeight w:val="322"/>
        </w:trPr>
        <w:tc>
          <w:tcPr>
            <w:tcW w:w="1222" w:type="dxa"/>
            <w:vMerge w:val="restart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rPr>
          <w:trHeight w:val="976"/>
        </w:trPr>
        <w:tc>
          <w:tcPr>
            <w:tcW w:w="1222" w:type="dxa"/>
            <w:vMerge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избирательную комиссию муниципального образования 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23 сентября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  <w:vMerge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представительный орган муниципального образования 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сорок пять дней со дня официального опубликования общих данных о результатах выборов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уполномоченных представителей кандидатов по финансовым вопросам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дней после представления нотариально удостоверенной и оформленной  в установленном федеральным законом порядке доверенности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кандидатом специального избирательного счета для формирования своего избирательного фонда (за исключением случаев, предусмотренных пунктами 1, 11 статьи 58 Федерального закона «Об основных гарантиях избирательных прав и права на участие в референдуме граждан Российской Федерации» и пунктом 1 статьи 34, пунктом 1 статьи 35 Закона Ивановской области «О муниципальных выборах»)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письменного уведомления избирательной комиссии муниципального образования о выдвижении, получения соответствующего документа на открытие специального избирательного счета  до дня предоставления документов на регистрацию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избирательную комиссию муниципального образования финансового отчета кандидата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30 дней со дня официального опубликования общих данных о результатах выборов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Кандидат, уполномоченный представитель кандидата по финансовым вопросам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копий финансовых отчетов кандидатов в средства массовой информации для опубликования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пять дней со дня их получения</w:t>
            </w:r>
          </w:p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переданных избирательной комиссией муниципального образования финансовых отчетов (сведений из указанных отчетов) 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дней со дня получения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Редакции муниципальных периодических печатных изданий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избирательную комиссию муниципального образования сведений о поступлении средств на специальные избирательные счета кандидатов и расходовании этих средств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кредитные организации, в которых открыты специальные избирательные счета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(передача) в редакции средств массовой информации для опубликования сведений о поступлении средств в избирательные фонды кандидатов и расходовании этих средств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Периодически, но не реже чем один раз в две недели,</w:t>
            </w:r>
          </w:p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13 сентября </w:t>
            </w:r>
          </w:p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года 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сведений о поступлении средств в избирательные фонды кандидатов и расходовании этих средств 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дней со дня получения указанных сведений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Редакции муниципальных периодических печатных изданий</w:t>
            </w: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заверенных копий первичных финансовых документов, подтверждающих поступление средств на специальные избирательные счета кандидатов и расходование этих средств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трехдневный срок, а с 9 сентября</w:t>
            </w:r>
          </w:p>
          <w:p w:rsidR="006D0137" w:rsidRPr="006D0137" w:rsidRDefault="006D0137" w:rsidP="006D013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года – немедленно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Сберегательного банка Российской Федерации по запросу избирательной комиссии муниципального образования (по соответствующему избирательному фонду - также по требованию кандидата, уполномоченного представителя избирательного объединения по финансовым вопросам)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на безвозмездной основе проверки сведений, указанных гражданами и юридическими </w:t>
            </w: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лицами при внесении (перечислении) добровольных пожертвований в избирательные фонды. 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избирательной комиссии, направившей представление, о результатах проверки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пятидневный срок со дня поступления представления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регистрационного учета граждан Российской Федерации по </w:t>
            </w: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неизрасходованных средств, находящихся на специальных избирательных счетах, гражданам и (или) юридическим лицам, внесшим добровольные пожертвования либо осуществившим перечисления в избирательные фонды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13 сентября 2015 года до представления итогового финансового отчета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в доход местного бюджета средств, оставшихся на специальных избирательных счетах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 ноября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Сберегательного банка Российской Федерации по письменному указанию избирательной комиссии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Откомандирование специалистов, входящих в состав контрольно-ревизионных служб, созданных при избирательной комиссии муниципального образования, в распоряжение избирательной комиссии муниципального образования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один месяц со дня официального опубликования решения о назначении выборов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органы и иные органы и организации, указанные в пункте 5 статьи 26 Закона Ивановской области, </w:t>
            </w:r>
          </w:p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избирательной комиссии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групп </w:t>
            </w:r>
            <w:proofErr w:type="gram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ГАС «Выборы» либо отдельных ее технических средств в избирательной комиссии муниципального образования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31 июля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формы и текста избирательного </w:t>
            </w: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бюллетеня для голосования по многомандатному избирательному округу, их числа, порядка осуществления </w:t>
            </w:r>
            <w:proofErr w:type="gram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изготовлением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23 августа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Избирательная комиссия </w:t>
            </w: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28 августа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Полиграфические организации по решению избирательной комиссии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месте и времени передачи избирательных бюллетеней членам избирательной комиссии, осуществившей их закупку, об уничтожении лишних избирательных бюллетеней (при их выявлении)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два дня до дня получения избирательных бюллетеней от полиграфической организации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rPr>
          <w:trHeight w:val="2824"/>
        </w:trPr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избирательных бюллетеней в участковые избирательные комиссии для проведения досрочного голосования 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31 августа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  <w:p w:rsidR="006D0137" w:rsidRPr="006D0137" w:rsidRDefault="006D0137" w:rsidP="006D0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rPr>
          <w:trHeight w:val="2908"/>
        </w:trPr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избирательных бюллетеней в участковые избирательные комиссии для проведения голосования в день голосования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11 сентября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сентября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избирателям приглашений для участия в выборах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 установленные избирательной комиссией муниципального образования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 в порядке, определяемом избирательной комиссией муниципального образования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досрочного голосования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2 по 12 сентября 2015 года включительно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голосования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</w:t>
            </w:r>
          </w:p>
          <w:p w:rsidR="006D0137" w:rsidRPr="006D0137" w:rsidRDefault="006D0137" w:rsidP="006D01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года </w:t>
            </w:r>
          </w:p>
          <w:p w:rsidR="006D0137" w:rsidRPr="006D0137" w:rsidRDefault="006D0137" w:rsidP="006D013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 до 20 часов по местному времени. </w:t>
            </w:r>
          </w:p>
          <w:p w:rsidR="006D0137" w:rsidRPr="006D0137" w:rsidRDefault="006D0137" w:rsidP="006D01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письменного заявления (устного обращения) о предоставлении возможности проголосовать вне помещения для голосования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 сентября 2015 года </w:t>
            </w:r>
            <w:proofErr w:type="gram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D0137" w:rsidRPr="006D0137" w:rsidRDefault="006D0137" w:rsidP="006D01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часов </w:t>
            </w:r>
            <w:proofErr w:type="gram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0137" w:rsidRPr="006D0137" w:rsidRDefault="006D0137" w:rsidP="006D01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местному времени 13 сентября </w:t>
            </w:r>
          </w:p>
          <w:p w:rsidR="006D0137" w:rsidRPr="006D0137" w:rsidRDefault="006D0137" w:rsidP="006D01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 года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голосов избирателей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Сразу после окончания голосования и без перерыва до установления итогов голосования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итоговом заседании участковой избирательной комиссии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участковых избирательных комиссий с правом решающего голоса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заверенных копий протокола участковой избирательной комиссии об итогах голосования лицам, указанным в пункте 3 статьи 9 Закона </w:t>
            </w: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Ивановской области «О муниципальных выборах»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Незамедлительно после подписания протокола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 при обращении соответствующих лиц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данных, содержащихся в протоколах участковых избирательных комиссий об итогах голосования, в сети Интернет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введения данных </w:t>
            </w:r>
            <w:proofErr w:type="gramStart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ГАС</w:t>
            </w:r>
            <w:proofErr w:type="gramEnd"/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«Выборы»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Избирательная комиссия Ивановской области 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результатов выборов 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 сентября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зарегистрированных кандидатов, признанных избранными 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определения  результатов выборов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общих данных о результатах выборов в средства массовой информации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избирательную комиссию муниципального образования копии приказа (распоряжения) об освобождении от обязанностей, несовместимых со статусом депутата,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пятидневный срок со дня получения извещения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Зарегистрированные кандидаты, избранные депутатами представительного органа 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избранных депутатов представительного органа муниципального образования и выдача им удостоверений об избрании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официального опубликования общих данных о результатах выборов и представления зарегистрированным кандидатом копии приказа (иного документа) об освобождении его от обязанностей, несовместимых со статусом депутата представительного органа </w:t>
            </w: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Избирательная комиссия муниципального образования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опубликование результатов выборов депутатов представительного органа муниципального образования, а также данных о числе голосов избирателей, полученных каждым зарегистрированным кандидатом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13 октября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опубликование (обнародование) полных данных о результатах выборов, содержащихся в протоколах всех нижестоящих избирательных комиссий</w:t>
            </w:r>
          </w:p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13 ноября 2015 года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сети Интернет информации, включающей в себя полные данные, содержащиеся в протоколах всех избирательных комиссий об итогах голосования, о результатах выборов депутатов представительного органа муниципального образования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три месяца со дня опубликования такой информации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Ивановской области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порядке, установленном законодательством Ивановской области и постановлением Избирательной комиссии Ивановской области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одного года со дня официального опубликования результатов муниципальных выборов </w:t>
            </w: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6D0137" w:rsidRPr="006D0137" w:rsidTr="00DC4F2C">
        <w:tc>
          <w:tcPr>
            <w:tcW w:w="1222" w:type="dxa"/>
          </w:tcPr>
          <w:p w:rsidR="006D0137" w:rsidRPr="006D0137" w:rsidRDefault="006D0137" w:rsidP="006D01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первых экземпляров протоколов избирательных комиссий об итогах голосования, о результатах выборов и сводных таблиц, финансовых отчетов избирательных комиссий, итоговых финансовых отчетов зарегистрированных </w:t>
            </w: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кандидатов</w:t>
            </w:r>
          </w:p>
        </w:tc>
        <w:tc>
          <w:tcPr>
            <w:tcW w:w="3788" w:type="dxa"/>
          </w:tcPr>
          <w:p w:rsidR="006D0137" w:rsidRPr="006D0137" w:rsidRDefault="006D0137" w:rsidP="006D0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одного года со дня официального опубликования (публикации) решения о назначении следующих основных выборов.</w:t>
            </w:r>
          </w:p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D0137" w:rsidRPr="006D0137" w:rsidRDefault="006D0137" w:rsidP="006D0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Избирательные комиссии</w:t>
            </w:r>
          </w:p>
        </w:tc>
      </w:tr>
    </w:tbl>
    <w:p w:rsidR="006D0137" w:rsidRPr="006D0137" w:rsidRDefault="006D0137" w:rsidP="006D0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137" w:rsidRPr="006D0137" w:rsidRDefault="006D0137">
      <w:pPr>
        <w:rPr>
          <w:sz w:val="24"/>
          <w:szCs w:val="24"/>
        </w:rPr>
        <w:sectPr w:rsidR="006D0137" w:rsidRPr="006D0137" w:rsidSect="006D01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07A2F" w:rsidRPr="006D0137" w:rsidRDefault="00807A2F">
      <w:pPr>
        <w:rPr>
          <w:sz w:val="24"/>
          <w:szCs w:val="24"/>
        </w:rPr>
      </w:pPr>
      <w:bookmarkStart w:id="0" w:name="_GoBack"/>
      <w:bookmarkEnd w:id="0"/>
    </w:p>
    <w:sectPr w:rsidR="00807A2F" w:rsidRPr="006D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BD6"/>
    <w:multiLevelType w:val="hybridMultilevel"/>
    <w:tmpl w:val="693C8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75DAF"/>
    <w:multiLevelType w:val="hybridMultilevel"/>
    <w:tmpl w:val="78829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A3"/>
    <w:rsid w:val="006D0137"/>
    <w:rsid w:val="00807A2F"/>
    <w:rsid w:val="009A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4598</Words>
  <Characters>26213</Characters>
  <Application>Microsoft Office Word</Application>
  <DocSecurity>0</DocSecurity>
  <Lines>218</Lines>
  <Paragraphs>61</Paragraphs>
  <ScaleCrop>false</ScaleCrop>
  <Company>Reanimator Extreme Edition</Company>
  <LinksUpToDate>false</LinksUpToDate>
  <CharactersWithSpaces>30750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dcterms:created xsi:type="dcterms:W3CDTF">2015-07-02T09:52:00Z</dcterms:created>
  <dcterms:modified xsi:type="dcterms:W3CDTF">2015-07-02T09:58:00Z</dcterms:modified>
</cp:coreProperties>
</file>