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НОВОГОРЯНОВСКОГО СЕЛЬСКОГО  ПОСЕЛЕНИЯ</w:t>
      </w:r>
    </w:p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 РАЙОНА</w:t>
      </w:r>
    </w:p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B6" w:rsidRPr="00C067B6" w:rsidRDefault="00C067B6" w:rsidP="00C0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B6" w:rsidRPr="0061175A" w:rsidRDefault="00C067B6" w:rsidP="00C067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17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067B6" w:rsidRPr="00C067B6" w:rsidRDefault="00C067B6" w:rsidP="00C067B6">
      <w:pPr>
        <w:keepNext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B6" w:rsidRPr="00C067B6" w:rsidRDefault="00B95C7A" w:rsidP="00C067B6">
      <w:pPr>
        <w:keepNext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17.07.2015</w:t>
      </w:r>
      <w:r w:rsidR="00C067B6" w:rsidRPr="00C067B6">
        <w:rPr>
          <w:rFonts w:ascii="Times New Roman" w:eastAsia="Times New Roman" w:hAnsi="Times New Roman" w:cs="Times New Roman"/>
          <w:sz w:val="28"/>
          <w:szCs w:val="28"/>
          <w:lang w:eastAsia="ru-RU"/>
        </w:rPr>
        <w:t>г                                                                                                     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67B6" w:rsidRPr="00C067B6" w:rsidRDefault="00C067B6" w:rsidP="00C067B6">
      <w:pPr>
        <w:keepNext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с.Новое Горяново                                              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 xml:space="preserve">Об утверждении </w:t>
      </w:r>
      <w:proofErr w:type="gramStart"/>
      <w:r w:rsidRPr="00C067B6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Программы проведения проверки готовности </w:t>
      </w:r>
      <w:r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 xml:space="preserve"> потребителей тепловой энергии</w:t>
      </w:r>
      <w:proofErr w:type="gramEnd"/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Pr="00C067B6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к отопительному периоду</w:t>
      </w:r>
      <w:r w:rsidR="00B95C7A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 xml:space="preserve"> 2015-2016гг</w:t>
      </w:r>
      <w:r w:rsidRPr="00C067B6"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271F"/>
          <w:sz w:val="28"/>
          <w:szCs w:val="28"/>
          <w:lang w:eastAsia="ru-RU"/>
        </w:rPr>
        <w:t>Новогоряновского сельского поселения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1"/>
          <w:szCs w:val="21"/>
          <w:lang w:eastAsia="ru-RU"/>
        </w:rPr>
      </w:pPr>
      <w:r w:rsidRPr="00C067B6">
        <w:rPr>
          <w:rFonts w:ascii="Times New Roman" w:eastAsia="Times New Roman" w:hAnsi="Times New Roman" w:cs="Times New Roman"/>
          <w:b/>
          <w:bCs/>
          <w:color w:val="31271F"/>
          <w:sz w:val="21"/>
          <w:szCs w:val="21"/>
          <w:lang w:eastAsia="ru-RU"/>
        </w:rPr>
        <w:t> </w:t>
      </w:r>
    </w:p>
    <w:p w:rsidR="00C067B6" w:rsidRDefault="00C067B6" w:rsidP="0061175A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В соответствии с Федеральным </w:t>
      </w:r>
      <w:hyperlink r:id="rId6" w:history="1">
        <w:r w:rsidRPr="00C067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 от 27.07.2010 N 190-ФЗ "О теплоснабжении",   </w:t>
      </w:r>
      <w:hyperlink r:id="rId7" w:history="1">
        <w:r w:rsidRPr="00C067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 Министерства энергетики Российской Федерации от 12.03.2013 N 103 "Об утверждении Правил оценки готовности к отопительному сезону" администрация Новогоряновского сельского поселения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                                   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ПОСТАНОВЛЯЕТ: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  <w:t>1. Утвердить </w:t>
      </w:r>
      <w:hyperlink r:id="rId8" w:anchor="Par31" w:history="1">
        <w:r w:rsidRPr="00C067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 проведения проверки готовности </w:t>
      </w: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потребителей тепловой энергии 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к отопительному периоду</w:t>
      </w:r>
      <w:r w:rsidR="00B95C7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2015-2016гг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</w:t>
      </w:r>
      <w:r w:rsidR="00DC1588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Новогоряновского сельского поселения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(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п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рилагается).</w:t>
      </w:r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                                                                             2.</w:t>
      </w:r>
      <w:bookmarkStart w:id="0" w:name="_GoBack"/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Постановление администрации Новогоряновского сельского поселения № 6</w:t>
      </w:r>
      <w:r w:rsidR="00B95C7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3 от 28.08.2014</w:t>
      </w:r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г «Об утверждении программы проведения проверки готовности потребителей тепловой энергии к отопительному периоду</w:t>
      </w:r>
      <w:r w:rsidR="00B95C7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Новогоряновского сельского поселения</w:t>
      </w:r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» отменить.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bookmarkEnd w:id="0"/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3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</w:t>
      </w:r>
      <w:r w:rsidR="00DC1588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Новогоряновского сельского поселения в сети «Интернет»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. 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br/>
      </w:r>
      <w:r w:rsidR="0061175A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4</w:t>
      </w:r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. 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Контроль за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C1588" w:rsidRDefault="00DC1588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</w:p>
    <w:p w:rsidR="00DC1588" w:rsidRDefault="00DC1588" w:rsidP="00DC1588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 xml:space="preserve">Глава администрации Новогоряновского                                                                сельского 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  <w:t>С.И.Беляев</w:t>
      </w:r>
      <w:proofErr w:type="spellEnd"/>
    </w:p>
    <w:p w:rsidR="00DC1588" w:rsidRDefault="00DC1588" w:rsidP="00DC1588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</w:p>
    <w:p w:rsidR="00DC1588" w:rsidRDefault="00DC1588" w:rsidP="00DC1588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271F"/>
          <w:sz w:val="28"/>
          <w:szCs w:val="28"/>
          <w:lang w:eastAsia="ru-RU"/>
        </w:rPr>
      </w:pPr>
    </w:p>
    <w:p w:rsidR="00C067B6" w:rsidRPr="00C067B6" w:rsidRDefault="00C067B6" w:rsidP="00DC1588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1" w:name="Par26"/>
      <w:bookmarkEnd w:id="1"/>
      <w:proofErr w:type="gram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>Утверждена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Постановлением Администрации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Новогоряновского сельского поселения                                                                                                  от 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17.07.2015г</w:t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№ 6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4</w:t>
      </w:r>
    </w:p>
    <w:p w:rsidR="00C067B6" w:rsidRPr="00C067B6" w:rsidRDefault="00C067B6" w:rsidP="00DC1588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2" w:name="Par31"/>
      <w:bookmarkEnd w:id="2"/>
      <w:r w:rsidRPr="00C067B6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Программа </w:t>
      </w:r>
      <w:r w:rsidR="00DC1588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 w:rsidRPr="00C067B6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проведения проверки готовности </w:t>
      </w:r>
      <w:r w:rsidR="00DC1588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>потребителей тепловой энергии</w:t>
      </w:r>
      <w:proofErr w:type="gramEnd"/>
      <w:r w:rsidR="00DC1588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 </w:t>
      </w:r>
      <w:r w:rsidRPr="00C067B6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>к отопительному периоду</w:t>
      </w:r>
      <w:r w:rsidR="00B95C7A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 2015-2016гг </w:t>
      </w:r>
      <w:r w:rsidRPr="00C067B6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 xml:space="preserve"> </w:t>
      </w:r>
      <w:r w:rsidR="00DC1588">
        <w:rPr>
          <w:rFonts w:ascii="Times New Roman" w:eastAsia="Times New Roman" w:hAnsi="Times New Roman" w:cs="Times New Roman"/>
          <w:b/>
          <w:bCs/>
          <w:color w:val="31271F"/>
          <w:sz w:val="24"/>
          <w:szCs w:val="24"/>
          <w:lang w:eastAsia="ru-RU"/>
        </w:rPr>
        <w:t>Новогоряновского сельского поселения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</w:p>
    <w:p w:rsidR="00C067B6" w:rsidRPr="00C067B6" w:rsidRDefault="00C067B6" w:rsidP="00DC1588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3" w:name="Par37"/>
      <w:bookmarkEnd w:id="3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Раздел I. ОБЩИЕ ПОЛОЖЕНИЯ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1. 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Настоящая Программа проведения проверки готовности к отопительному периоду потребителей тепловой энергии,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теплопотребляющие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установки которых подключены к системе теплоснабжения (далее - Программа) разработана в соответствии с Федеральным </w:t>
      </w:r>
      <w:hyperlink r:id="rId9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от 27 июля 2010 года N 190-ФЗ "О теплоснабжении", </w:t>
      </w:r>
      <w:hyperlink r:id="rId10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оценки готовности к отопительному периоду, утвержденными Приказом Министерства энергетики Российской Федерации от 12 марта 2013 года N 103.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2.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Целью Программы является оценка готовности к отопительному периоду путем проведения проверок готовности к отопительному период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у потребителей тепловой энергии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.</w:t>
      </w:r>
      <w:r w:rsidR="00B95C7A" w:rsidRPr="00B95C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5C7A" w:rsidRPr="00D04A91">
        <w:rPr>
          <w:rFonts w:ascii="Times New Roman" w:hAnsi="Times New Roman"/>
          <w:sz w:val="24"/>
          <w:szCs w:val="24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="00B95C7A" w:rsidRPr="00D04A91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="00B95C7A" w:rsidRPr="00D04A91">
        <w:rPr>
          <w:rFonts w:ascii="Times New Roman" w:hAnsi="Times New Roman"/>
          <w:sz w:val="24"/>
          <w:szCs w:val="24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="00B95C7A" w:rsidRPr="00D04A91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="00B95C7A" w:rsidRPr="00D04A91">
        <w:rPr>
          <w:rFonts w:ascii="Times New Roman" w:hAnsi="Times New Roman"/>
          <w:sz w:val="24"/>
          <w:szCs w:val="24"/>
        </w:rPr>
        <w:t xml:space="preserve"> установки которых подключены к системе теплоснабжения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3.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утверждается </w:t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распоряжением администрации Новогоряновского сельского поселения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4. Непосредственная ответственность за качество организации и контроль проведения мероприятий по подготовке к отопительному периоду потребителей тепловой энергии,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теплопотребляющие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установки которых подключены к системе теплоснабжения, возлагается на руководителей организаций.</w:t>
      </w:r>
    </w:p>
    <w:p w:rsidR="00C067B6" w:rsidRPr="00C067B6" w:rsidRDefault="00C067B6" w:rsidP="00DC1588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4" w:name="Par44"/>
      <w:bookmarkEnd w:id="4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Раздел II. РАБОТА КОМИССИИ ПО ПРОВЕРКЕ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ГОТОВНОСТИ К ОТОПИТЕЛЬНОМУ ПЕРИОДУ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6. При проверке Комиссией проверяется выполнение требований, установленных</w:t>
      </w:r>
      <w:r w:rsidRPr="00C0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оценки готовности к отопительному периоду, утвержденными Приказом Министерства энергетики Российской Федерации от 12 марта 2013 года N 103 (далее - Правила).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</w:r>
      <w:bookmarkStart w:id="5" w:name="Par50"/>
      <w:bookmarkEnd w:id="5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9. Результаты проверки оформляются </w:t>
      </w:r>
      <w:hyperlink r:id="rId12" w:anchor="Par89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актом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 проверки готовности к отопительному периоду (далее - Акт), который составляется не позднее одного дня 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с даты завершения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проверки, по форме согласно приложению N 1 к настоящей Программе.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10. В Акте содержатся следующие выводы Комиссии по итогам проверки: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1) объект проверки готов к отопительному периоду;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3) объект проверки не готов к отопительному периоду.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11. При наличии у Комиссии замечаний к выполнению требований по готовности или при невыполнении требований по готовности к </w:t>
      </w:r>
      <w:hyperlink r:id="rId13" w:anchor="Par89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Акту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прилагается перечень замечаний (далее - Перечень) с указанием сроков их устранения.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12. </w:t>
      </w:r>
      <w:hyperlink r:id="rId14" w:anchor="Par227" w:history="1">
        <w:proofErr w:type="gramStart"/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Паспорт</w:t>
        </w:r>
      </w:hyperlink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 готовности к отопительному периоду (далее - паспорт) составляется по форме согласно приложению N 2 к настоящей Программе и выдается </w:t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а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дминистрацией </w:t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Новогоряновского сельского поселения 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Перечнем.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13. Сроки выдачи паспортов определяются председателем Комиссии в зависимости от осо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бенностей климатических условий, но не позднее 25 сентября – для потребителей тепловой энергии.                                                                                                                       </w:t>
      </w:r>
      <w:r w:rsidR="00DC1588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.                 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DC1588" w:rsidRDefault="00C067B6" w:rsidP="00DC1588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6" w:name="Par63"/>
      <w:bookmarkEnd w:id="6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Раздел III. ПОРЯДОК ВЗАИМОДЕЙСТВИЯ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ТЕПЛОСНАБЖАЮЩИХ И ТЕПЛОСЕТЕВЫХ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ОРГАНИЗАЦИЙ, ПОТРЕБИТЕЛЕЙ ТЕПЛОВОЙ ЭНЕРГИИ,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ТЕПЛОПОТРЕБЛЯЮЩИЕ УСТАНОВКИ КОТОРЫХ ПОДКЛЮЧЕНЫ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К СИСТЕМЕ ТЕПЛОСНАБЖЕНИЯ, С КОМИССИЕЙ</w:t>
      </w:r>
    </w:p>
    <w:p w:rsidR="00C067B6" w:rsidRDefault="00DC1588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17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. Потребители тепловой энергии представляют в теплоснабжающую/</w:t>
      </w:r>
      <w:proofErr w:type="spellStart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теплосетевую</w:t>
      </w:r>
      <w:proofErr w:type="spellEnd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организацию и в </w:t>
      </w:r>
      <w:r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администрацию Новогоряновского сельского поселения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информацию по выполнению</w:t>
      </w:r>
      <w:r w:rsidR="00544C5B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</w:t>
      </w:r>
      <w:hyperlink r:id="rId15" w:anchor="Par311" w:history="1">
        <w:r w:rsidR="00C067B6"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требований</w:t>
        </w:r>
      </w:hyperlink>
      <w:r w:rsidR="00C067B6" w:rsidRPr="00C0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по готовности, указанных в приложении N </w:t>
      </w:r>
      <w:r w:rsidR="00544C5B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3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к настоящей Программе.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19. Теплоснабжающая/</w:t>
      </w:r>
      <w:proofErr w:type="spellStart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теплосетевая</w:t>
      </w:r>
      <w:proofErr w:type="spellEnd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организация осуществляет допуск в эксплуатацию узлов учета тепловой энергии потребителей, присутствует при </w:t>
      </w:r>
      <w:proofErr w:type="spellStart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опрессовке</w:t>
      </w:r>
      <w:proofErr w:type="spellEnd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внутридомовых сетей и проводит осмотр объектов проверки.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20. Потребители тепловой энергии оформляют Акт готовности к отопительному периоду, 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 xml:space="preserve">согласовывают его с теплоснабжающей и </w:t>
      </w:r>
      <w:proofErr w:type="spellStart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теплосетевой</w:t>
      </w:r>
      <w:proofErr w:type="spellEnd"/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организацией и представляют его в Комиссию для рассмотрения.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21. Комиссия рассматривает документы, подтверждающие выполнение требований готовности в соответствии с </w:t>
      </w:r>
      <w:hyperlink r:id="rId16" w:anchor="Par50" w:history="1">
        <w:r w:rsidR="00C067B6"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8</w:t>
        </w:r>
      </w:hyperlink>
      <w:r w:rsidR="00C067B6" w:rsidRPr="00C0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67B6"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Программы. </w:t>
      </w: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B95C7A" w:rsidRPr="00C067B6" w:rsidRDefault="00B95C7A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</w:p>
    <w:p w:rsidR="00C067B6" w:rsidRPr="00C067B6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>Приложение N 1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постановлению администрации                                                                                            Новогоряновского сельского поселения                                                                                                       № 6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4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от 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17.07.2015г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7" w:name="Par218"/>
      <w:bookmarkEnd w:id="7"/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 №________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проверки готовности к отопительному периоду ____________ годов</w:t>
      </w:r>
    </w:p>
    <w:p w:rsidR="004D2F43" w:rsidRPr="004D2F43" w:rsidRDefault="004D2F43" w:rsidP="004D2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«_____»____________ 20__ г.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(место составление акта)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(дата составления акта)</w:t>
      </w:r>
    </w:p>
    <w:p w:rsidR="004D2F43" w:rsidRPr="004D2F43" w:rsidRDefault="004D2F43" w:rsidP="004D2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распоряжением администрации Новогоряновского сельского поселения </w:t>
      </w:r>
      <w:proofErr w:type="gram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№ _____________, </w:t>
      </w:r>
      <w:proofErr w:type="gram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программой проведения проверки готовности к отопительному периоду с «___»____________20__ г. по «___»_____________ 20__ г. в соответствии с </w:t>
      </w:r>
      <w:hyperlink r:id="rId17" w:history="1">
        <w:r w:rsidRPr="004D2F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4D2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4D2F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190-ФЗ «О теплоснабжении» провела проверку готовности к отопительному периоду 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4D2F43" w:rsidRPr="004D2F43" w:rsidRDefault="004D2F43" w:rsidP="004D2F4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_________/_________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___________________/_______________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991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наличии у комиссии замечаний к выполнению требований по готовности </w:t>
      </w:r>
      <w:bookmarkEnd w:id="8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4D2F43" w:rsidRPr="004D2F43" w:rsidRDefault="004D2F43" w:rsidP="004D2F43">
      <w:pPr>
        <w:keepNext/>
        <w:spacing w:after="0" w:line="240" w:lineRule="exact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before="240" w:after="0" w:line="240" w:lineRule="auto"/>
        <w:ind w:left="4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 проверки готовности 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  <w:r w:rsidRPr="004D2F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№________ от «</w:t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 20__ г.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проверки готовности к отопительному периоду.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(дата)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(дата)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______________________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(дата)                                                                                                                    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B6" w:rsidRPr="00C067B6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>Приложение N 2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постановлению администрации                                                                                   Новогоряновского сельского поселения                                                                                                  № 6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4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от </w:t>
      </w:r>
      <w:r w:rsid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17.07.2015г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27"/>
      <w:bookmarkEnd w:id="9"/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spellStart"/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proofErr w:type="gramStart"/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Pr="004D2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Выдан____________________________________________________________,</w:t>
      </w: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1.________________________________________________________________;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2.________________________________________________________________;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3.________________________________________________________________;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</w:t>
      </w:r>
      <w:proofErr w:type="gram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№__________________.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</w:t>
      </w:r>
      <w:proofErr w:type="gramEnd"/>
    </w:p>
    <w:p w:rsidR="004D2F43" w:rsidRPr="004D2F43" w:rsidRDefault="004D2F43" w:rsidP="004D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периоду)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F43" w:rsidRPr="004D2F43" w:rsidRDefault="004D2F43" w:rsidP="004D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  <w:bookmarkStart w:id="10" w:name="Par254"/>
      <w:bookmarkEnd w:id="10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</w:p>
    <w:p w:rsidR="00C067B6" w:rsidRPr="00B95C7A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right"/>
        <w:rPr>
          <w:rFonts w:ascii="Cambria Math" w:eastAsia="Times New Roman" w:hAnsi="Cambria Math" w:cs="Times New Roman"/>
          <w:color w:val="31271F"/>
          <w:sz w:val="24"/>
          <w:szCs w:val="24"/>
          <w:lang w:eastAsia="ru-RU"/>
        </w:rPr>
      </w:pPr>
      <w:bookmarkStart w:id="11" w:name="Par302"/>
      <w:bookmarkEnd w:id="11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lastRenderedPageBreak/>
        <w:t xml:space="preserve">Приложение N 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3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к </w:t>
      </w:r>
      <w:r w:rsidR="004D2F43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постановлению администрации                                                                                   Новогоряновского сельского поселения                                                                                                </w:t>
      </w:r>
      <w:r w:rsidR="004D2F43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№ 6</w:t>
      </w:r>
      <w:r w:rsidR="00B95C7A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4</w:t>
      </w:r>
      <w:r w:rsidR="004D2F43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от </w:t>
      </w:r>
      <w:r w:rsidR="00B95C7A" w:rsidRPr="00B95C7A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17.07.2015г</w:t>
      </w:r>
    </w:p>
    <w:p w:rsidR="00C067B6" w:rsidRPr="00C067B6" w:rsidRDefault="00C067B6" w:rsidP="004D2F43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jc w:val="center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bookmarkStart w:id="12" w:name="Par311"/>
      <w:bookmarkEnd w:id="12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ТРЕБОВАНИЯ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ПО ГОТОВНОСТИ К ОТОПИТЕЛЬНОМУ ПЕРИОДУ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ДЛЯ ПОТРЕБИТЕЛЕЙ ТЕПЛОВОЙ ЭНЕРГИИ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ind w:left="150" w:right="150" w:firstLine="225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2. Проведение промывки оборудования и коммуникаций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3. Разработка эксплуатационных режимов, а также мероприятий по их внедрению.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4. Выполнение плана ремонтных работ и качество их выполнения.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5. Состояние тепловых сетей, принадлежащих потребителю тепловой энергии.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7. Состояние трубопроводов, арматуры и тепловой изоляции в пределах тепловых пунктов.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8. Наличие и работоспособность приборов учета, работоспособность автоматических регуляторов при их наличии.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9. Работоспособность защиты систем теплопотребления.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10. Наличие паспортов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11. Отсутствие прямых соединений оборудования тепловых пунктов с водопроводом и канализацией.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12. Плотность оборудования тепловых пунктов.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13. Наличие пломб на расчетных шайбах и соплах элеваторов.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14. </w:t>
      </w:r>
      <w:proofErr w:type="gram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15.</w:t>
      </w:r>
      <w:proofErr w:type="gram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 xml:space="preserve">16. Проведение испытания оборудования </w:t>
      </w:r>
      <w:proofErr w:type="spellStart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теплопотребляющих</w:t>
      </w:r>
      <w:proofErr w:type="spellEnd"/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установок на плотность и прочность.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br/>
        <w:t>17. Надежность теплоснабжения потребителей тепловой энергии с учетом климатических условий в соответствии с </w:t>
      </w:r>
      <w:hyperlink r:id="rId18" w:history="1">
        <w:r w:rsidRPr="00C067B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критериями</w:t>
        </w:r>
      </w:hyperlink>
      <w:r w:rsidRPr="00C06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 xml:space="preserve">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C067B6" w:rsidRPr="00C067B6" w:rsidRDefault="00C067B6" w:rsidP="00C06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</w:pPr>
      <w:r w:rsidRPr="00C067B6">
        <w:rPr>
          <w:rFonts w:ascii="Times New Roman" w:eastAsia="Times New Roman" w:hAnsi="Times New Roman" w:cs="Times New Roman"/>
          <w:color w:val="31271F"/>
          <w:sz w:val="24"/>
          <w:szCs w:val="24"/>
          <w:lang w:eastAsia="ru-RU"/>
        </w:rPr>
        <w:t> </w:t>
      </w:r>
    </w:p>
    <w:p w:rsidR="006F058A" w:rsidRPr="00C067B6" w:rsidRDefault="006F058A" w:rsidP="00C067B6">
      <w:pPr>
        <w:rPr>
          <w:rFonts w:ascii="Times New Roman" w:hAnsi="Times New Roman" w:cs="Times New Roman"/>
          <w:sz w:val="24"/>
          <w:szCs w:val="24"/>
        </w:rPr>
      </w:pPr>
    </w:p>
    <w:sectPr w:rsidR="006F058A" w:rsidRPr="00C067B6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750"/>
    <w:multiLevelType w:val="multilevel"/>
    <w:tmpl w:val="195C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0428B"/>
    <w:multiLevelType w:val="multilevel"/>
    <w:tmpl w:val="094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7454C"/>
    <w:multiLevelType w:val="multilevel"/>
    <w:tmpl w:val="93A8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B"/>
    <w:rsid w:val="0003482A"/>
    <w:rsid w:val="00496952"/>
    <w:rsid w:val="004D2F43"/>
    <w:rsid w:val="00544C5B"/>
    <w:rsid w:val="0061175A"/>
    <w:rsid w:val="006F058A"/>
    <w:rsid w:val="00AF1CFB"/>
    <w:rsid w:val="00B95C7A"/>
    <w:rsid w:val="00C067B6"/>
    <w:rsid w:val="00D624B2"/>
    <w:rsid w:val="00DC1588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Relationship Id="rId13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Relationship Id="rId18" Type="http://schemas.openxmlformats.org/officeDocument/2006/relationships/hyperlink" Target="consultantplus://offline/ref=D3B1D85AB7CAAE798BE9A51073E3CD0180955E0497A8FED72D5211552F8B36DC5821CFF0FE2DF55CyCv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B1D85AB7CAAE798BE9A51073E3CD0180955E0497A8FED72D5211552Fy8vBF" TargetMode="External"/><Relationship Id="rId12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Relationship Id="rId1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6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B1D85AB7CAAE798BE9A51073E3CD018095530498A8FED72D5211552Fy8vBF" TargetMode="External"/><Relationship Id="rId11" Type="http://schemas.openxmlformats.org/officeDocument/2006/relationships/hyperlink" Target="consultantplus://offline/ref=D3B1D85AB7CAAE798BE9A51073E3CD0180955E0497A8FED72D5211552F8B36DC5821CFF0FE2DF45DyCv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Relationship Id="rId10" Type="http://schemas.openxmlformats.org/officeDocument/2006/relationships/hyperlink" Target="consultantplus://offline/ref=D3B1D85AB7CAAE798BE9A51073E3CD0180955E0497A8FED72D5211552F8B36DC5821CFF0FE2DF45DyCv5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1D85AB7CAAE798BE9A51073E3CD018095530498A8FED72D5211552Fy8vBF" TargetMode="External"/><Relationship Id="rId14" Type="http://schemas.openxmlformats.org/officeDocument/2006/relationships/hyperlink" Target="http://mixailovsk.ru/normativno-pravovye-akty/resolution/586-postanovlenie-administracii-mihajlovskogo-municipalnogo-obrazovanija-ot-18102013g-177-ob-utverzhdenii-programmy-provedenija-proverki-gotovnosti-k-otopitelnomu-periodu-20132014gg-na-territorii-mihaj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cp:lastPrinted>2014-10-22T07:54:00Z</cp:lastPrinted>
  <dcterms:created xsi:type="dcterms:W3CDTF">2014-10-21T08:52:00Z</dcterms:created>
  <dcterms:modified xsi:type="dcterms:W3CDTF">2015-09-07T12:13:00Z</dcterms:modified>
</cp:coreProperties>
</file>