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30" w:rsidRPr="00B71A30" w:rsidRDefault="00B64A99" w:rsidP="002D7E57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36"/>
          <w:szCs w:val="36"/>
        </w:rPr>
        <w:t xml:space="preserve">  </w:t>
      </w:r>
    </w:p>
    <w:p w:rsidR="00B71A30" w:rsidRP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1A30" w:rsidRDefault="00B71A30" w:rsidP="0014640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постановлением </w:t>
      </w:r>
      <w:r w:rsidR="00B71A30" w:rsidRPr="00B71A30">
        <w:rPr>
          <w:rFonts w:ascii="Times New Roman" w:hAnsi="Times New Roman"/>
          <w:sz w:val="24"/>
          <w:szCs w:val="24"/>
        </w:rPr>
        <w:t>а</w:t>
      </w:r>
      <w:r w:rsidRPr="00B71A30">
        <w:rPr>
          <w:rFonts w:ascii="Times New Roman" w:hAnsi="Times New Roman"/>
          <w:sz w:val="24"/>
          <w:szCs w:val="24"/>
        </w:rPr>
        <w:t xml:space="preserve">дминистрации                                                                         </w:t>
      </w:r>
      <w:r w:rsidR="00B71A30" w:rsidRPr="00B71A30">
        <w:rPr>
          <w:rFonts w:ascii="Times New Roman" w:hAnsi="Times New Roman"/>
          <w:sz w:val="24"/>
          <w:szCs w:val="24"/>
        </w:rPr>
        <w:t xml:space="preserve">          </w:t>
      </w:r>
      <w:r w:rsidR="00A81CFD">
        <w:rPr>
          <w:rFonts w:ascii="Times New Roman" w:eastAsia="Times New Roman" w:hAnsi="Times New Roman"/>
          <w:bCs/>
          <w:sz w:val="24"/>
          <w:szCs w:val="24"/>
          <w:lang w:eastAsia="ru-RU"/>
        </w:rPr>
        <w:t>Новогоряновского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2A1F6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>17.03.2020г</w:t>
      </w:r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4257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="00B64A99">
        <w:rPr>
          <w:rFonts w:ascii="Times New Roman" w:eastAsia="Times New Roman" w:hAnsi="Times New Roman"/>
          <w:sz w:val="24"/>
          <w:szCs w:val="24"/>
          <w:lang w:eastAsia="ru-RU"/>
        </w:rPr>
        <w:t xml:space="preserve"> № 22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формирования перечня налоговых расходов 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огоряновского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оценки налоговых расходов 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огоряновского</w:t>
      </w:r>
      <w:r w:rsidR="00B71A30"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I. Общие положения</w:t>
      </w:r>
    </w:p>
    <w:p w:rsidR="00146409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1. Настоящий Порядок определяет процедуру формирования перечня налоговых расходов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реестра налоговых расходов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методику оценки налоговых расходов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налоговые расходы).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146409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2. В целях настоящего Порядка применяются следующие понятия и термины: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выпадающие доходы бюджета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целями социально-экономической политики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относящимися к муниципальным программам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куратор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ответственный исполнитель муниципальной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(ее структурных элементов) и (или) целей социально-экономического развития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не относящихся к муниципальным программам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нераспределенные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налоговые расходы, соответствующие целям социально-экономической политики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реализуемым в рамках нескольких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(муниципальных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непрограммных направлений деятельности);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технические (финансовые)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стимулирующие налоговые расходы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нормативные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целевые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фискальные характеристики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свод (перечень) налоговых расходов в разрезе муниципальных программ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A81CFD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правовых актов и международных договоров и сроки действия таких положений;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DE5">
        <w:rPr>
          <w:rFonts w:ascii="Times New Roman" w:eastAsia="Times New Roman" w:hAnsi="Times New Roman"/>
          <w:b/>
          <w:sz w:val="24"/>
          <w:szCs w:val="24"/>
          <w:lang w:eastAsia="ru-RU"/>
        </w:rPr>
        <w:t>реестр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0DE5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налогового расхода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- совокупность данных о нормативных, фискальных и целевых характеристиках налогового расхода.</w:t>
      </w:r>
    </w:p>
    <w:p w:rsidR="00B71A30" w:rsidRPr="00B71A30" w:rsidRDefault="00B71A3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3. В целях оценки налоговых расходов 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A81CFD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A81CFD">
        <w:rPr>
          <w:rFonts w:ascii="Times New Roman" w:hAnsi="Times New Roman"/>
          <w:sz w:val="24"/>
          <w:szCs w:val="24"/>
        </w:rPr>
        <w:t xml:space="preserve"> кураторы налоговых расходов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формирует перечень налоговых расходов;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ведет реестр налоговых расходов;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г) осуществляет обобщение результатов оценки эффективности налоговых расх</w:t>
      </w:r>
      <w:r w:rsidR="00A81CFD">
        <w:rPr>
          <w:rFonts w:ascii="Times New Roman" w:eastAsia="Times New Roman" w:hAnsi="Times New Roman"/>
          <w:sz w:val="24"/>
          <w:szCs w:val="24"/>
          <w:lang w:eastAsia="ru-RU"/>
        </w:rPr>
        <w:t>одов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4. В целях оценки налоговых расходов главные администраторы доходов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формируют и представляют в финансовый орган администрации поселения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пять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предшествующих отчетному финансовому году.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5. В целях оценки налоговых расходов кураторы налоговых расходов: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в финансовый орган администрации поселения.</w:t>
      </w:r>
    </w:p>
    <w:p w:rsidR="00EA0DE5" w:rsidRDefault="00EA0DE5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II. Формирование перечня налоговых расходов. Формирование и ведение реестра налоговых расходов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6. 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перечня налоговых расходов на очередной финансовый год и плановый период разрабатывается финансовым органом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ежегодно в срок до 25 марта текущего финансового года и направляется на согласование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поселения, ответственным исполнителям муниципальных программ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 кураторов налоговых расходов.</w:t>
      </w:r>
      <w:proofErr w:type="gramEnd"/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7. 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кураторам налоговых расходов, и в случае несогласия с указанным распределением направляют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предложения по уточнению такого 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результаты рассмотрения не направлены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поселения в течение срока, указанного в абзаце первом настоящего пункта, проект перечня считается согласованным.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 и плановый период,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наличии разногласий по проекту перечня налоговых расходов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 поселения 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 апреля текущего финансового года рассматриваются Главой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EA0DE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8. 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информационно-телекоммуникационной сети "Интернет".</w:t>
      </w:r>
      <w:proofErr w:type="gramEnd"/>
    </w:p>
    <w:p w:rsidR="00146409" w:rsidRPr="00B71A30" w:rsidRDefault="00EA0DE5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9. 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финансовый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поселения соответствующую информацию для уточнения указанного перечня.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10. 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 и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proofErr w:type="gramEnd"/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период).</w:t>
      </w:r>
    </w:p>
    <w:p w:rsidR="00146409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11. Реестр налоговых расходов формируется и ведется в порядке, установленном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дминистрацией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40890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III. Оценка эффективности налоговых расходов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финансовым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13. В целях оценки эффективности налоговых расходов: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финансовым органом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D85016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D85016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финансовый орган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оценку целесообразности предоставления налоговых расходов;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оценку результативности налоговых расходов.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15. Критериями целесообразности осуществления налоговых расходов являются: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(в отношении непрограммных налоговых расходов);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востребованность льготы, освобождения или иной преференции.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Невыполнение хотя бы одного из указанных критериев свидетельствует о недостаточной эффективности рассматриваемого налогового расхода. 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отнесенных к действующим муниципальным программам, и включает оценку бюджетной эффективности налогового расхода.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значение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которого оказывает влияние рассматриваемый налоговый расход;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затратности</w:t>
      </w:r>
      <w:proofErr w:type="spellEnd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предоставление муниципальных гарантий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обязательствам соответствующих категорий налогоплательщиков;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5 лет, предшествующих отчетному году, в случае если налоговый расход действует более 6 лет на момент проведения оценки эффективности, по следующей формуле</w:t>
      </w:r>
      <w:hyperlink r:id="rId4" w:anchor="1" w:history="1">
        <w:r w:rsidRPr="00B71A30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*(1):</w:t>
        </w:r>
      </w:hyperlink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52725" cy="514350"/>
            <wp:effectExtent l="0" t="0" r="9525" b="0"/>
            <wp:docPr id="5" name="Рисунок 5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i-ом году.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налогоплательщиков </w:t>
      </w:r>
      <w:proofErr w:type="gramStart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-б</w:t>
      </w:r>
      <w:proofErr w:type="gramEnd"/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енефициаров налогового расхода в отчетном году, текущем году, очередном году и (или) плановом периоде оценивается (прогнозируется) по данным куратора налогового расхода и финансового органа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06F30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="00146409"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базовый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базовом году, рассчитываемый по формуле: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504950" cy="295275"/>
            <wp:effectExtent l="0" t="0" r="0" b="9525"/>
            <wp:docPr id="3" name="Рисунок 3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,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где: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95275" cy="228600"/>
            <wp:effectExtent l="0" t="0" r="9525" b="0"/>
            <wp:docPr id="2" name="Рисунок 2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консолидированный бюджет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j-го налогоплательщика - бенефициара налогового расхода в базовом году;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8125" cy="228600"/>
            <wp:effectExtent l="0" t="0" r="9525" b="0"/>
            <wp:docPr id="1" name="Рисунок 1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-бенефициара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6 лет;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- номинальный темп прироста налоговых доходов консолидированного бюджета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i-ом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заложенному в основу решения о бюджете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</w:t>
      </w:r>
      <w:r w:rsidRPr="00B71A30">
        <w:rPr>
          <w:rFonts w:ascii="Times New Roman" w:hAnsi="Times New Roman"/>
          <w:sz w:val="24"/>
          <w:szCs w:val="24"/>
        </w:rPr>
        <w:t xml:space="preserve">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очередной финансовый год и плановый период, а также целевого</w:t>
      </w:r>
      <w:proofErr w:type="gramEnd"/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уровня инфляции, определяемого Центральным банком Российской Федерации на среднесрочную перспективу (4 процента);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 - количество налогоплательщиков-бенефициаров налогового расхода в i-ом году;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 - расчетная стоимость среднесрочных рыночных заимствований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, принимаемая на уровне 7,5 процентов.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20. По итогам оценки результативности формируется заключение: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финансовый орган 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06F30" w:rsidRPr="00B71A30">
        <w:rPr>
          <w:rFonts w:ascii="Times New Roman" w:hAnsi="Times New Roman"/>
          <w:sz w:val="24"/>
          <w:szCs w:val="24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до 10 августа текущего финансового года.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46409" w:rsidRPr="00B71A30">
        <w:rPr>
          <w:rFonts w:ascii="Times New Roman" w:hAnsi="Times New Roman"/>
          <w:sz w:val="24"/>
          <w:szCs w:val="24"/>
        </w:rPr>
        <w:t>сельского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, утвержденным постановлением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="00146409" w:rsidRPr="00B71A30">
        <w:rPr>
          <w:rFonts w:ascii="Times New Roman" w:hAnsi="Times New Roman"/>
          <w:sz w:val="24"/>
          <w:szCs w:val="24"/>
        </w:rPr>
        <w:t xml:space="preserve">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146409" w:rsidRPr="00B71A30">
        <w:rPr>
          <w:rFonts w:ascii="Times New Roman" w:hAnsi="Times New Roman"/>
          <w:sz w:val="24"/>
          <w:szCs w:val="24"/>
        </w:rPr>
        <w:t>сельского поселения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C40890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23. Финансовый  орган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</w:t>
      </w:r>
      <w:r w:rsidR="00146409"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поселения обобщает результаты оценки и рекомендации по результатам оценки налоговых расходов.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="00C408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1A30">
        <w:rPr>
          <w:rFonts w:ascii="Times New Roman" w:hAnsi="Times New Roman"/>
          <w:sz w:val="24"/>
          <w:szCs w:val="24"/>
          <w:lang w:eastAsia="ru-RU"/>
        </w:rPr>
        <w:t>ПРИЛОЖЕНИЕ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>к Порядку формирования перечня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 xml:space="preserve">налоговых расходов  </w:t>
      </w:r>
      <w:r w:rsidRPr="00B71A30">
        <w:rPr>
          <w:rFonts w:ascii="Times New Roman" w:hAnsi="Times New Roman"/>
          <w:sz w:val="24"/>
          <w:szCs w:val="24"/>
        </w:rPr>
        <w:t>поселения</w:t>
      </w:r>
      <w:r w:rsidRPr="00B71A30">
        <w:rPr>
          <w:rFonts w:ascii="Times New Roman" w:hAnsi="Times New Roman"/>
          <w:sz w:val="24"/>
          <w:szCs w:val="24"/>
          <w:lang w:eastAsia="ru-RU"/>
        </w:rPr>
        <w:br/>
        <w:t xml:space="preserve">и оценки налоговых расходов </w:t>
      </w:r>
      <w:r w:rsidRPr="00B71A30">
        <w:rPr>
          <w:rFonts w:ascii="Times New Roman" w:hAnsi="Times New Roman"/>
          <w:sz w:val="24"/>
          <w:szCs w:val="24"/>
        </w:rPr>
        <w:t>поселения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</w:t>
      </w:r>
      <w:r w:rsidRPr="00B71A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информации, включаемой в паспорт налогового расхода </w:t>
      </w:r>
      <w:r w:rsidR="00C06F30" w:rsidRPr="00C06F30">
        <w:rPr>
          <w:rFonts w:ascii="Times New Roman" w:eastAsia="Times New Roman" w:hAnsi="Times New Roman"/>
          <w:b/>
          <w:sz w:val="24"/>
          <w:szCs w:val="24"/>
          <w:lang w:eastAsia="ru-RU"/>
        </w:rPr>
        <w:t>Новогоряновского</w:t>
      </w:r>
      <w:r w:rsidR="00C40890" w:rsidRPr="00C06F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71A30">
        <w:rPr>
          <w:rFonts w:ascii="Times New Roman" w:hAnsi="Times New Roman"/>
          <w:b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244"/>
        <w:gridCol w:w="2527"/>
      </w:tblGrid>
      <w:tr w:rsidR="00146409" w:rsidRPr="00B71A30" w:rsidTr="00AC4747">
        <w:tc>
          <w:tcPr>
            <w:tcW w:w="0" w:type="auto"/>
            <w:gridSpan w:val="2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146409" w:rsidRPr="00B71A30" w:rsidTr="00AC4747">
        <w:tc>
          <w:tcPr>
            <w:tcW w:w="0" w:type="auto"/>
            <w:gridSpan w:val="3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главного администратора доходов, финансового органа </w:t>
            </w:r>
            <w:hyperlink r:id="rId10" w:anchor="2" w:history="1">
              <w:r w:rsidRPr="00B71A3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фактического объема налогового расхода за отчетный финансовый год, оценка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финансового органа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получателей налогового расхода в году, предшествующем отчетному финансовому году (единиц)</w:t>
            </w:r>
            <w:hyperlink r:id="rId11" w:anchor="3" w:history="1">
              <w:r w:rsidRPr="00B71A3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146409" w:rsidRPr="00B71A30" w:rsidTr="00AC4747"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146409" w:rsidRPr="00B71A30" w:rsidRDefault="00146409" w:rsidP="00B71A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рублей)2</w:t>
            </w:r>
          </w:p>
        </w:tc>
        <w:tc>
          <w:tcPr>
            <w:tcW w:w="0" w:type="auto"/>
            <w:hideMark/>
          </w:tcPr>
          <w:p w:rsidR="00146409" w:rsidRPr="00B71A30" w:rsidRDefault="00146409" w:rsidP="00C408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1A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C06F30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C06F30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огоряновского </w:t>
      </w:r>
      <w:r w:rsidRPr="00B71A30">
        <w:rPr>
          <w:rFonts w:ascii="Times New Roman" w:hAnsi="Times New Roman"/>
          <w:sz w:val="24"/>
          <w:szCs w:val="24"/>
        </w:rPr>
        <w:t>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налоговых расходов </w:t>
      </w:r>
      <w:r w:rsidR="00D85016" w:rsidRPr="00B71A30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r w:rsidR="00D85016">
        <w:rPr>
          <w:rFonts w:ascii="Times New Roman" w:eastAsia="Times New Roman" w:hAnsi="Times New Roman"/>
          <w:sz w:val="24"/>
          <w:szCs w:val="24"/>
          <w:lang w:eastAsia="ru-RU"/>
        </w:rPr>
        <w:t>огоряновского</w:t>
      </w:r>
      <w:r w:rsidRPr="00B71A3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1A30">
        <w:rPr>
          <w:rFonts w:ascii="Times New Roman" w:eastAsia="Times New Roman" w:hAnsi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органом.</w:t>
      </w:r>
    </w:p>
    <w:p w:rsidR="00146409" w:rsidRPr="00B71A30" w:rsidRDefault="00146409" w:rsidP="00B71A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6409" w:rsidRPr="00B71A30" w:rsidRDefault="00146409" w:rsidP="00B71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7886" w:rsidRPr="00B71A30" w:rsidRDefault="00657886" w:rsidP="00B71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57886" w:rsidRPr="00B71A30" w:rsidSect="00AD1884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A7D87"/>
    <w:rsid w:val="0004257A"/>
    <w:rsid w:val="00146409"/>
    <w:rsid w:val="002A1F62"/>
    <w:rsid w:val="002D7E57"/>
    <w:rsid w:val="003D1102"/>
    <w:rsid w:val="005A7D87"/>
    <w:rsid w:val="00641C90"/>
    <w:rsid w:val="006442AB"/>
    <w:rsid w:val="00657886"/>
    <w:rsid w:val="009F2489"/>
    <w:rsid w:val="00A0750E"/>
    <w:rsid w:val="00A81CFD"/>
    <w:rsid w:val="00AD1884"/>
    <w:rsid w:val="00B64A99"/>
    <w:rsid w:val="00B71A30"/>
    <w:rsid w:val="00C06F30"/>
    <w:rsid w:val="00C31DEA"/>
    <w:rsid w:val="00C40890"/>
    <w:rsid w:val="00D85016"/>
    <w:rsid w:val="00E670F6"/>
    <w:rsid w:val="00EA0DE5"/>
    <w:rsid w:val="00F77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464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1464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640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146409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146409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46409"/>
  </w:style>
  <w:style w:type="paragraph" w:styleId="a5">
    <w:name w:val="Balloon Text"/>
    <w:basedOn w:val="a"/>
    <w:link w:val="a6"/>
    <w:uiPriority w:val="99"/>
    <w:semiHidden/>
    <w:unhideWhenUsed/>
    <w:rsid w:val="00C06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F3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arant.ru/products/ipo/prime/doc/56662964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arant.ru/products/ipo/prime/doc/56662964/" TargetMode="External"/><Relationship Id="rId4" Type="http://schemas.openxmlformats.org/officeDocument/2006/relationships/hyperlink" Target="https://www.garant.ru/products/ipo/prime/doc/56662964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unit1</dc:creator>
  <cp:lastModifiedBy>HP</cp:lastModifiedBy>
  <cp:revision>2</cp:revision>
  <cp:lastPrinted>2020-03-17T08:45:00Z</cp:lastPrinted>
  <dcterms:created xsi:type="dcterms:W3CDTF">2020-08-21T06:12:00Z</dcterms:created>
  <dcterms:modified xsi:type="dcterms:W3CDTF">2020-08-21T06:12:00Z</dcterms:modified>
</cp:coreProperties>
</file>