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0" w:rsidRDefault="00224C00" w:rsidP="001235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352B" w:rsidRDefault="0012352B" w:rsidP="001235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НОВОГОРЯНОВСКОГО                        СЕЛЬСКОГО ПОСЕЛЕНИЯ                                                  ТЕЙКОВСКОГО МУНИЦИПАЛЬНОГО РАЙОНА                   ИВАНОВСКОЙ ОБЛАСТИ</w:t>
      </w:r>
    </w:p>
    <w:p w:rsidR="0012352B" w:rsidRDefault="0012352B" w:rsidP="001235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2352B" w:rsidRDefault="0012352B" w:rsidP="00123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523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2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</w:t>
      </w:r>
      <w:r w:rsidR="004D5231">
        <w:rPr>
          <w:rFonts w:ascii="Times New Roman" w:hAnsi="Times New Roman" w:cs="Times New Roman"/>
          <w:sz w:val="28"/>
          <w:szCs w:val="28"/>
        </w:rPr>
        <w:t xml:space="preserve">                             №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2B" w:rsidRDefault="00224C00" w:rsidP="001235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5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35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2352B">
        <w:rPr>
          <w:rFonts w:ascii="Times New Roman" w:hAnsi="Times New Roman" w:cs="Times New Roman"/>
          <w:sz w:val="28"/>
          <w:szCs w:val="28"/>
        </w:rPr>
        <w:t xml:space="preserve">овое Горяново </w:t>
      </w:r>
    </w:p>
    <w:p w:rsidR="0012352B" w:rsidRDefault="0012352B" w:rsidP="00123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7A" w:rsidRDefault="0012352B" w:rsidP="001235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                                          Новогоряновского сельского поселения                                                    «Развитие информационной </w:t>
      </w:r>
      <w:r w:rsidRPr="0012352B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1235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YANDEX_24"/>
      <w:bookmarkEnd w:id="0"/>
      <w:r w:rsidRPr="0012352B">
        <w:rPr>
          <w:rFonts w:ascii="Times New Roman" w:hAnsi="Times New Roman" w:cs="Times New Roman"/>
          <w:b/>
          <w:sz w:val="28"/>
          <w:szCs w:val="28"/>
        </w:rPr>
        <w:t xml:space="preserve">Новогоряновского сельского поселения Тейковского </w:t>
      </w:r>
      <w:bookmarkStart w:id="1" w:name="YANDEX_26"/>
      <w:bookmarkEnd w:id="1"/>
      <w:r w:rsidRPr="0012352B">
        <w:rPr>
          <w:rStyle w:val="apple-converted-space"/>
          <w:rFonts w:ascii="Times New Roman" w:hAnsi="Times New Roman" w:cs="Times New Roman"/>
          <w:b/>
          <w:sz w:val="28"/>
          <w:szCs w:val="28"/>
        </w:rPr>
        <w:t>муниц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и</w:t>
      </w:r>
      <w:r w:rsidRPr="0012352B">
        <w:rPr>
          <w:rStyle w:val="apple-converted-space"/>
          <w:rFonts w:ascii="Times New Roman" w:hAnsi="Times New Roman" w:cs="Times New Roman"/>
          <w:b/>
          <w:sz w:val="28"/>
          <w:szCs w:val="28"/>
        </w:rPr>
        <w:t>пального</w:t>
      </w:r>
      <w:r w:rsidRPr="0012352B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Pr="0012352B">
        <w:rPr>
          <w:rFonts w:ascii="Times New Roman" w:hAnsi="Times New Roman" w:cs="Times New Roman"/>
          <w:b/>
          <w:color w:val="000000"/>
          <w:sz w:val="28"/>
          <w:szCs w:val="28"/>
        </w:rPr>
        <w:t>йона Ивановской области</w:t>
      </w:r>
      <w:r w:rsidRPr="0012352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52B" w:rsidRDefault="00D02B7A" w:rsidP="00D02B7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 в ред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остановлений администрации Новогоряновского сельского поселения от 23.12.2013г № 98-1,от 31.10.2014г № 80,от 23.12.2014г № 97,от 27.03.2015г № 38,от 18.12.2015г № 114,от 21.09.2016г № 111</w:t>
      </w:r>
      <w:r w:rsidR="00E3737F">
        <w:rPr>
          <w:rFonts w:ascii="Times New Roman" w:hAnsi="Times New Roman" w:cs="Times New Roman"/>
          <w:i/>
          <w:sz w:val="24"/>
          <w:szCs w:val="24"/>
        </w:rPr>
        <w:t>,от 12.12.2016г № 138</w:t>
      </w:r>
      <w:r w:rsidR="00224C00">
        <w:rPr>
          <w:rFonts w:ascii="Times New Roman" w:hAnsi="Times New Roman" w:cs="Times New Roman"/>
          <w:i/>
          <w:sz w:val="24"/>
          <w:szCs w:val="24"/>
        </w:rPr>
        <w:t xml:space="preserve">,от 28.08.2017г № 62-1, от 27.10.2017г № 82,от 14.11.2017г № 89,от 25.12.2017г № 100, от 27.04.2018г № 34,от 01.06.2018г № 40, от </w:t>
      </w:r>
      <w:proofErr w:type="gramStart"/>
      <w:r w:rsidR="00224C00">
        <w:rPr>
          <w:rFonts w:ascii="Times New Roman" w:hAnsi="Times New Roman" w:cs="Times New Roman"/>
          <w:i/>
          <w:sz w:val="24"/>
          <w:szCs w:val="24"/>
        </w:rPr>
        <w:t>24.08.2018г № 50,от 27.09.2018г № 57, от 30.10.2018г № 66,</w:t>
      </w:r>
      <w:r w:rsidR="00B05940">
        <w:rPr>
          <w:rFonts w:ascii="Times New Roman" w:hAnsi="Times New Roman" w:cs="Times New Roman"/>
          <w:i/>
          <w:sz w:val="24"/>
          <w:szCs w:val="24"/>
        </w:rPr>
        <w:t>от 12.11.2018г № 72,от 29.11.2018г № 77,</w:t>
      </w:r>
      <w:r w:rsidR="00B53A1E">
        <w:rPr>
          <w:rFonts w:ascii="Times New Roman" w:hAnsi="Times New Roman" w:cs="Times New Roman"/>
          <w:i/>
          <w:sz w:val="24"/>
          <w:szCs w:val="24"/>
        </w:rPr>
        <w:t>от 26.12.2018г № 84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2352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End"/>
    </w:p>
    <w:p w:rsidR="0012352B" w:rsidRDefault="0012352B" w:rsidP="00123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 законом  от 06.03.2003г № 131-ФЗ «Об общих принципах организации местного самоуправления в Российской Федерации»,  администрация Новогоряновского сельского поселения    </w:t>
      </w:r>
    </w:p>
    <w:p w:rsidR="0012352B" w:rsidRDefault="0012352B" w:rsidP="001235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2352B" w:rsidRDefault="0012352B" w:rsidP="001235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12352B" w:rsidRDefault="0012352B" w:rsidP="00123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352B" w:rsidRDefault="0012352B" w:rsidP="0012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Новогоряновского сельского поселения "Развитие информационной системы Новогоряновского сельского поселения Тейковского муниципального района Ивановской области".</w:t>
      </w:r>
    </w:p>
    <w:p w:rsidR="0012352B" w:rsidRDefault="0012352B" w:rsidP="00123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утвержденную муниципальную программу Новогоряновского сельского поселения "Развитие информационной системы Новогоряновского сельского поселения Тейковского муниципального района Ивановской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"н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своем официальном сайте администрации в сети "Интернет" в 2-недельный срок со дня официального опубликования настоящего постановления.</w:t>
      </w: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Новогоряновского</w:t>
      </w: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С.И.Беляев</w:t>
      </w:r>
    </w:p>
    <w:p w:rsidR="0012352B" w:rsidRDefault="0012352B" w:rsidP="00123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52B" w:rsidRDefault="0012352B" w:rsidP="0012352B">
      <w:pPr>
        <w:pStyle w:val="ConsPlusNormal"/>
        <w:jc w:val="both"/>
      </w:pPr>
    </w:p>
    <w:p w:rsidR="0012352B" w:rsidRDefault="0012352B" w:rsidP="0012352B">
      <w:pPr>
        <w:pStyle w:val="ConsPlusNormal"/>
        <w:jc w:val="both"/>
      </w:pPr>
    </w:p>
    <w:p w:rsidR="0012352B" w:rsidRDefault="0012352B" w:rsidP="0012352B">
      <w:pPr>
        <w:pStyle w:val="ConsPlusNormal"/>
        <w:jc w:val="both"/>
      </w:pPr>
    </w:p>
    <w:p w:rsidR="0012352B" w:rsidRDefault="0012352B" w:rsidP="0012352B">
      <w:pPr>
        <w:rPr>
          <w:rFonts w:ascii="Times New Roman" w:hAnsi="Times New Roman" w:cs="Times New Roman"/>
        </w:rPr>
      </w:pPr>
    </w:p>
    <w:p w:rsidR="0012352B" w:rsidRDefault="0012352B" w:rsidP="0012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НОВОГОРЯНОВСКОГО СЕЛЬСКОГО ПОСЕЛЕНИЯ</w:t>
      </w:r>
    </w:p>
    <w:p w:rsidR="0012352B" w:rsidRDefault="0012352B" w:rsidP="009A5C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«РАЗВИТИЕ </w:t>
      </w:r>
      <w:r w:rsidR="004C585E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НОВОГОРЯНОВСКОГО СЕЛЬСКОГО ПОСЕЛЕНИЯ </w:t>
      </w:r>
      <w:r w:rsidR="004C585E">
        <w:rPr>
          <w:rFonts w:ascii="Times New Roman" w:hAnsi="Times New Roman" w:cs="Times New Roman"/>
          <w:b/>
          <w:i/>
          <w:sz w:val="24"/>
          <w:szCs w:val="24"/>
        </w:rPr>
        <w:t>ТЕЙКОВСКОГО МУНИЦИПАЛЬНОГО РАЙОНА ИВАНОВСКОЙ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2352B" w:rsidRPr="009A5C40" w:rsidRDefault="0012352B" w:rsidP="009A5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1"/>
        <w:tblW w:w="0" w:type="auto"/>
        <w:tblLook w:val="04A0"/>
      </w:tblPr>
      <w:tblGrid>
        <w:gridCol w:w="1832"/>
        <w:gridCol w:w="8022"/>
      </w:tblGrid>
      <w:tr w:rsidR="00B53A1E" w:rsidRPr="00B86C51" w:rsidTr="000226F1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" Развитие информационной системы Новогоряновского сельского поселения Тейковского муниципального района Ивановской области"</w:t>
            </w:r>
          </w:p>
        </w:tc>
      </w:tr>
      <w:tr w:rsidR="00B53A1E" w:rsidRPr="00B86C51" w:rsidTr="000226F1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2014г-2022г</w:t>
            </w:r>
          </w:p>
        </w:tc>
      </w:tr>
      <w:tr w:rsidR="00B53A1E" w:rsidRPr="00B86C51" w:rsidTr="000226F1">
        <w:trPr>
          <w:trHeight w:val="651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B53A1E" w:rsidRPr="00B86C51" w:rsidTr="000226F1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B53A1E" w:rsidRPr="00B86C51" w:rsidTr="000226F1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ar1027" w:history="1">
              <w:r w:rsidRPr="00B5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  1</w:t>
              </w:r>
            </w:hyperlink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Новогоряновского сельского поселения»</w:t>
            </w:r>
          </w:p>
        </w:tc>
      </w:tr>
      <w:tr w:rsidR="00B53A1E" w:rsidRPr="00B86C51" w:rsidTr="000226F1">
        <w:trPr>
          <w:trHeight w:val="3508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цели)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эффективности муниципального управления органов местного самоуправления Новогоряновского сельского поселения, стимулирование распространения и использования информационных технологий в ключевых областях деятельности;                                                                   Формирование открытых информационных ресурсов, направленных на удовлетворение информационных потребностей населения и учреждений  Новогоряновского сельского поселения</w:t>
            </w:r>
            <w:proofErr w:type="gramStart"/>
            <w:r w:rsidRPr="00B53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;</w:t>
            </w:r>
            <w:proofErr w:type="gramEnd"/>
            <w:r w:rsidRPr="00B53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Развитие телекоммуникационной инфраструктуры, отвечающей современным требованиям и обеспечивающей потребности органов местного самоуправления Новогоряновского сельского поселения</w:t>
            </w:r>
            <w:proofErr w:type="gramStart"/>
            <w:r w:rsidRPr="00B53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B53A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доступе к муниципальным информационным ресурсам и информационном взаимодействии с другими уровнями власти</w:t>
            </w:r>
          </w:p>
        </w:tc>
      </w:tr>
      <w:tr w:rsidR="00B53A1E" w:rsidRPr="00B86C51" w:rsidTr="000226F1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1086,2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 xml:space="preserve">ублей     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 местный бюджет                                                                                                           2014г – 197,8тыс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                                                                                               2015г-  180,6тыс.руб.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2016г –142,8тыс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2017г – 69,3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2018 г –255,7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2019г-  80,0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2020г – 80,0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                                                                                             2021г-  80,0 тыс.руб.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2022гг-0,00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2014г - 0,00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2015г - 0,00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2016г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2017г - 0,00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2018г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2019-2022гг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 - 0,00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2015г - 0,00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2016г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 xml:space="preserve">2017г – 0,00 </w:t>
            </w:r>
            <w:proofErr w:type="spell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2018г -0,00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2019-2022гг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2014г - 0,00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2015г - 0,00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2016г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2017г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2018г – 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2019-2022гг-0,00 тыс</w:t>
            </w:r>
            <w:proofErr w:type="gramStart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12352B" w:rsidRDefault="0012352B" w:rsidP="0012352B">
      <w:pPr>
        <w:rPr>
          <w:rFonts w:ascii="Times New Roman" w:hAnsi="Times New Roman" w:cs="Times New Roman"/>
        </w:rPr>
      </w:pPr>
    </w:p>
    <w:p w:rsidR="009C7823" w:rsidRPr="00EB018D" w:rsidRDefault="009C7823" w:rsidP="009C7823">
      <w:pPr>
        <w:pStyle w:val="a4"/>
        <w:jc w:val="center"/>
        <w:rPr>
          <w:b/>
        </w:rPr>
      </w:pPr>
      <w:r w:rsidRPr="00EB018D">
        <w:rPr>
          <w:b/>
        </w:rPr>
        <w:t>1 .ХАРАКТЕРИСТИКА ПРОБЛЕМЫ И ОБОСНОВАНИЕ НЕОБХОДИМОСТИ ЕЕ РЕШЕНИЯ ПРОГРАММНЫМИ МЕТОДАМИ.</w:t>
      </w:r>
    </w:p>
    <w:p w:rsidR="009C7823" w:rsidRPr="009C7823" w:rsidRDefault="009C7823" w:rsidP="009C7823">
      <w:pPr>
        <w:pStyle w:val="a4"/>
      </w:pPr>
      <w:r w:rsidRPr="009C7823">
        <w:t>     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</w:t>
      </w:r>
    </w:p>
    <w:p w:rsidR="009C7823" w:rsidRPr="009C7823" w:rsidRDefault="009C7823" w:rsidP="009C7823">
      <w:pPr>
        <w:pStyle w:val="a4"/>
      </w:pPr>
      <w:r w:rsidRPr="009C7823">
        <w:t>     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региона, области, района, города, территорий, отдельных предприятий и отраслей, так и интересы страны в целом.</w:t>
      </w:r>
    </w:p>
    <w:p w:rsidR="009C7823" w:rsidRPr="009C7823" w:rsidRDefault="009C7823" w:rsidP="009C7823">
      <w:pPr>
        <w:pStyle w:val="a4"/>
      </w:pPr>
      <w:r w:rsidRPr="009C7823">
        <w:t>     В то же время динамично растущие информационные потребности общества намного превышают существующие возможности современной информационной инфраструктуры в органах местного самоуправления.</w:t>
      </w:r>
    </w:p>
    <w:p w:rsidR="00EB018D" w:rsidRPr="009C7823" w:rsidRDefault="009C7823" w:rsidP="009C7823">
      <w:pPr>
        <w:pStyle w:val="a4"/>
      </w:pPr>
      <w:r w:rsidRPr="009C7823">
        <w:t>     Остро стоит проблема технического оснащения информационно-вычислительной сети администрации поселения, недостаточно широко используются информационные технологии и технологии работы со знаниями в управленческих, научно-образовательных, инновационных и иных социальных процессах, где эти технологии могут дать наибольший эффект.</w:t>
      </w:r>
      <w:r w:rsidR="00EB018D">
        <w:t xml:space="preserve">                                                                                                                         </w:t>
      </w:r>
      <w:r w:rsidR="00D02B7A">
        <w:t xml:space="preserve">                          </w:t>
      </w:r>
      <w:r w:rsidR="00EB018D" w:rsidRPr="00EB018D">
        <w:rPr>
          <w:color w:val="000000"/>
        </w:rPr>
        <w:t xml:space="preserve"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Для обеспечения своевременного </w:t>
      </w:r>
      <w:r w:rsidR="00D02B7A">
        <w:rPr>
          <w:color w:val="000000"/>
        </w:rPr>
        <w:t xml:space="preserve">  </w:t>
      </w:r>
      <w:r w:rsidR="00EB018D" w:rsidRPr="00EB018D">
        <w:rPr>
          <w:color w:val="000000"/>
        </w:rPr>
        <w:t>и качественного перевода государственных и муниципальных услуг в электронный вид необходима планомерная работа под контролем Правительства области, эффективное межведомственное взаимодействие. Кроме того, начало обращения юридически значимых электронных документов предъявляет принци</w:t>
      </w:r>
      <w:r w:rsidR="00D02B7A">
        <w:rPr>
          <w:color w:val="000000"/>
        </w:rPr>
        <w:t xml:space="preserve">пиально новые требования  </w:t>
      </w:r>
      <w:r w:rsidR="00EB018D" w:rsidRPr="00EB018D">
        <w:rPr>
          <w:color w:val="000000"/>
        </w:rPr>
        <w:t xml:space="preserve"> к информационной безопасности и надежности функционирования </w:t>
      </w:r>
      <w:proofErr w:type="spellStart"/>
      <w:r w:rsidR="00EB018D" w:rsidRPr="00EB018D">
        <w:rPr>
          <w:color w:val="000000"/>
        </w:rPr>
        <w:t>ИТ-инфраструктуры</w:t>
      </w:r>
      <w:proofErr w:type="spellEnd"/>
      <w:r w:rsidR="00EB018D" w:rsidRPr="00EB018D">
        <w:rPr>
          <w:color w:val="000000"/>
        </w:rPr>
        <w:t xml:space="preserve">. Решение этой задачи является самостоятельным направлением деятельности. Перевод государственных и муниципальных услуг в </w:t>
      </w:r>
      <w:r w:rsidR="00EB018D" w:rsidRPr="00EB018D">
        <w:rPr>
          <w:color w:val="000000"/>
        </w:rPr>
        <w:lastRenderedPageBreak/>
        <w:t>электронный вид в рамках данной Программы позволит качественно и в установленные Правительством Российской Федерации сроки достичь необходимых результатов</w:t>
      </w:r>
    </w:p>
    <w:p w:rsidR="009C7823" w:rsidRDefault="009C7823" w:rsidP="009C7823">
      <w:pPr>
        <w:pStyle w:val="a4"/>
      </w:pPr>
      <w:r w:rsidRPr="009C7823">
        <w:t>     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новейших информационно-коммуникационных технологий.</w:t>
      </w:r>
    </w:p>
    <w:p w:rsidR="00EB018D" w:rsidRPr="00EB018D" w:rsidRDefault="00EB018D" w:rsidP="00EB018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грамотность  сотрудников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>сельского поселения становится  недостаточной  для  эффективной  эксплуатации  имеющихся  компьютерных  комплексов.</w:t>
      </w:r>
    </w:p>
    <w:p w:rsidR="00EB018D" w:rsidRPr="009C7823" w:rsidRDefault="00EB018D" w:rsidP="00EB018D">
      <w:pPr>
        <w:pStyle w:val="a4"/>
      </w:pPr>
      <w:r w:rsidRPr="004C4F66">
        <w:t xml:space="preserve">Реализация муниципальной целевой программы развития информатизации </w:t>
      </w:r>
      <w:r>
        <w:t xml:space="preserve">Новогоряновского </w:t>
      </w:r>
      <w:r w:rsidRPr="004C4F66">
        <w:t xml:space="preserve">сельского поселения </w:t>
      </w:r>
      <w:r>
        <w:t>на 2014-201</w:t>
      </w:r>
      <w:r w:rsidR="00D02B7A">
        <w:t>8</w:t>
      </w:r>
      <w:r w:rsidRPr="004C4F66">
        <w:t xml:space="preserve"> годы позволит качественно и в установленные сроки достичь необходимых результатов</w:t>
      </w:r>
    </w:p>
    <w:p w:rsidR="00AC0D01" w:rsidRDefault="009C7823">
      <w:pPr>
        <w:rPr>
          <w:rFonts w:ascii="Times New Roman" w:hAnsi="Times New Roman" w:cs="Times New Roman"/>
          <w:sz w:val="24"/>
          <w:szCs w:val="24"/>
        </w:rPr>
      </w:pPr>
      <w:r w:rsidRPr="00EB018D">
        <w:rPr>
          <w:rFonts w:ascii="Times New Roman" w:hAnsi="Times New Roman" w:cs="Times New Roman"/>
          <w:b/>
          <w:sz w:val="24"/>
          <w:szCs w:val="24"/>
        </w:rPr>
        <w:t xml:space="preserve">                       2.ЦЕЛИ, ЗАДАЧИ И СРОКИ РЕАЛИЗАЦИИ ПРОГРАМ</w:t>
      </w:r>
      <w:r>
        <w:rPr>
          <w:rFonts w:ascii="Times New Roman" w:hAnsi="Times New Roman" w:cs="Times New Roman"/>
          <w:sz w:val="24"/>
          <w:szCs w:val="24"/>
        </w:rPr>
        <w:t>МЫ</w:t>
      </w:r>
    </w:p>
    <w:p w:rsidR="009C7823" w:rsidRPr="009C7823" w:rsidRDefault="009C7823" w:rsidP="009C7823">
      <w:pPr>
        <w:pStyle w:val="a4"/>
        <w:rPr>
          <w:color w:val="333333"/>
        </w:rPr>
      </w:pPr>
      <w:r w:rsidRPr="009C7823">
        <w:rPr>
          <w:rStyle w:val="a6"/>
          <w:color w:val="333333"/>
        </w:rPr>
        <w:t>Цели Программы:</w:t>
      </w:r>
    </w:p>
    <w:p w:rsidR="009C7823" w:rsidRPr="00EB018D" w:rsidRDefault="009C7823" w:rsidP="009C7823">
      <w:pPr>
        <w:pStyle w:val="a4"/>
      </w:pPr>
      <w:proofErr w:type="gramStart"/>
      <w:r w:rsidRPr="00EB018D">
        <w:t>В рамках реализации настоящей Программы предлагается сосредоточить усилия на достижение следующих целей:</w:t>
      </w:r>
      <w:r w:rsidR="00EE71E2" w:rsidRPr="00EB018D">
        <w:t xml:space="preserve">                                                                                                                     </w:t>
      </w:r>
      <w:r w:rsidRPr="00EB018D">
        <w:t xml:space="preserve">1) повышение эффективности муниципального управления </w:t>
      </w:r>
      <w:r w:rsidR="00EE71E2" w:rsidRPr="00EB018D">
        <w:t>Новогоряновского сельского поселения</w:t>
      </w:r>
      <w:r w:rsidRPr="00EB018D">
        <w:t>, стимулирование распространения и использования информационных технологий в ключевых областях деятельности;</w:t>
      </w:r>
      <w:r w:rsidR="00EE71E2" w:rsidRPr="00EB018D">
        <w:t xml:space="preserve">                                                                                        </w:t>
      </w:r>
      <w:r w:rsidRPr="00EB018D">
        <w:t xml:space="preserve">2) формирование открытых информационных ресурсов, направленных на удовлетворение информационных потребностей населения и организаций </w:t>
      </w:r>
      <w:r w:rsidR="00EE71E2" w:rsidRPr="00EB018D">
        <w:t>Новогоряновского сельского поселения</w:t>
      </w:r>
      <w:r w:rsidRPr="00EB018D">
        <w:t>;</w:t>
      </w:r>
      <w:r w:rsidR="00EE71E2" w:rsidRPr="00EB018D">
        <w:t xml:space="preserve">                                                                                                                                                        </w:t>
      </w:r>
      <w:r w:rsidRPr="00EB018D">
        <w:t>3) совершенствование системы информирования и предоставления услуг населению органами местного самоуправления;</w:t>
      </w:r>
      <w:proofErr w:type="gramEnd"/>
      <w:r w:rsidR="00EE71E2" w:rsidRPr="00EB018D">
        <w:t xml:space="preserve">                                                                                                           </w:t>
      </w:r>
      <w:r w:rsidRPr="00EB018D">
        <w:t xml:space="preserve">4) развитие информационно-вычислительной сети, отвечающей современным требованиям и обеспечивающей потребности </w:t>
      </w:r>
      <w:r w:rsidR="00EE71E2" w:rsidRPr="00EB018D">
        <w:t>учреждений Новогоряновского сельского поселения</w:t>
      </w:r>
      <w:r w:rsidRPr="00EB018D">
        <w:t>, в доступе к муниципальным информационным ресурсам и информационном взаимодействии с другими уровнями власти.</w:t>
      </w:r>
    </w:p>
    <w:p w:rsidR="009C7823" w:rsidRPr="00EB018D" w:rsidRDefault="009C7823" w:rsidP="009C7823">
      <w:pPr>
        <w:pStyle w:val="a4"/>
      </w:pPr>
      <w:r w:rsidRPr="00EB018D">
        <w:rPr>
          <w:rStyle w:val="a6"/>
        </w:rPr>
        <w:t>Задачи Программы:</w:t>
      </w:r>
    </w:p>
    <w:p w:rsidR="009C7823" w:rsidRPr="00EB018D" w:rsidRDefault="009C7823" w:rsidP="009C7823">
      <w:pPr>
        <w:pStyle w:val="a4"/>
      </w:pPr>
      <w:r w:rsidRPr="00EB018D">
        <w:t>Для достижения заявленных целей в рамках реализации настоящей Программы предполагается сосредоточиться на решение следующих задач:</w:t>
      </w:r>
      <w:r w:rsidR="00EE71E2" w:rsidRPr="00EB018D">
        <w:t xml:space="preserve">                                                                                                  </w:t>
      </w:r>
      <w:r w:rsidRPr="00EB018D">
        <w:t>1) формирование нормативно-правовой базы в сфере информации, информатизации и защиты информации;</w:t>
      </w:r>
      <w:r w:rsidR="00EE71E2" w:rsidRPr="00EB018D">
        <w:t xml:space="preserve">                                                                                                                               2</w:t>
      </w:r>
      <w:r w:rsidRPr="00EB018D">
        <w:t>) модернизация сетевого оборудования и компьютерной техники;</w:t>
      </w:r>
      <w:r w:rsidR="00EE71E2" w:rsidRPr="00EB018D">
        <w:t xml:space="preserve">                                                                3</w:t>
      </w:r>
      <w:r w:rsidRPr="00EB018D">
        <w:t>) обеспечение информационной безопасности;</w:t>
      </w:r>
      <w:r w:rsidR="00EE71E2" w:rsidRPr="00EB018D">
        <w:t xml:space="preserve">                                                                                      4</w:t>
      </w:r>
      <w:r w:rsidRPr="00EB018D">
        <w:t>) организация инфраструктуры управления процессом информатизации.</w:t>
      </w:r>
    </w:p>
    <w:p w:rsidR="009C7823" w:rsidRPr="00EB018D" w:rsidRDefault="009C7823" w:rsidP="009C7823">
      <w:pPr>
        <w:pStyle w:val="a4"/>
      </w:pPr>
      <w:r w:rsidRPr="00EB018D">
        <w:rPr>
          <w:rStyle w:val="a6"/>
        </w:rPr>
        <w:t>Сроки реализации Программы:</w:t>
      </w:r>
    </w:p>
    <w:p w:rsidR="009C7823" w:rsidRDefault="00EE71E2" w:rsidP="009C7823">
      <w:pPr>
        <w:pStyle w:val="a4"/>
      </w:pPr>
      <w:r w:rsidRPr="00EB018D">
        <w:t xml:space="preserve">Программа рассчитана на </w:t>
      </w:r>
      <w:r w:rsidR="00B53A1E">
        <w:t>8</w:t>
      </w:r>
      <w:r w:rsidR="00D02B7A">
        <w:t>лет</w:t>
      </w:r>
      <w:r w:rsidRPr="00EB018D">
        <w:t>: 2014-20</w:t>
      </w:r>
      <w:r w:rsidR="00B53A1E">
        <w:t>22</w:t>
      </w:r>
      <w:r w:rsidR="009C7823" w:rsidRPr="00EB018D">
        <w:t xml:space="preserve"> годы.</w:t>
      </w:r>
    </w:p>
    <w:p w:rsidR="00EB018D" w:rsidRPr="00EB018D" w:rsidRDefault="00EB018D" w:rsidP="00EB018D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18D">
        <w:rPr>
          <w:rFonts w:ascii="Times New Roman" w:hAnsi="Times New Roman" w:cs="Times New Roman"/>
          <w:b/>
          <w:sz w:val="24"/>
          <w:szCs w:val="24"/>
        </w:rPr>
        <w:t>3</w:t>
      </w:r>
      <w:r w:rsidRPr="00EB018D">
        <w:rPr>
          <w:rFonts w:ascii="Times New Roman" w:hAnsi="Times New Roman" w:cs="Times New Roman"/>
          <w:sz w:val="24"/>
          <w:szCs w:val="24"/>
        </w:rPr>
        <w:t>.</w:t>
      </w:r>
      <w:r w:rsidRPr="00EB0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ИНДИКАТОРЫ ЭФФЕКТИВНОСТИ РЕАЛИЗАЦИИ ПРОГРАММЫ</w:t>
      </w:r>
    </w:p>
    <w:p w:rsidR="00EB018D" w:rsidRPr="00EB018D" w:rsidRDefault="00EB018D" w:rsidP="00EB018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18D">
        <w:rPr>
          <w:rFonts w:ascii="Times New Roman" w:eastAsia="Times New Roman" w:hAnsi="Times New Roman" w:cs="Times New Roman"/>
          <w:bCs/>
          <w:sz w:val="24"/>
          <w:szCs w:val="24"/>
        </w:rPr>
        <w:t>Индикаторами и показателями, позволяющими оценить ход реализации Программы, являются:</w:t>
      </w:r>
    </w:p>
    <w:p w:rsidR="00EB018D" w:rsidRPr="00EB018D" w:rsidRDefault="00EB018D" w:rsidP="00EB0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</w:t>
      </w:r>
      <w:r w:rsidRPr="00EB01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поэтапного перевода в электронный вид;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B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доля 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компьютеров в Администрации </w:t>
      </w:r>
      <w:r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оснащённых лицензионным системным программным обеспечением;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EB018D">
        <w:rPr>
          <w:rFonts w:ascii="Times New Roman" w:eastAsia="Times New Roman" w:hAnsi="Times New Roman" w:cs="Times New Roman"/>
          <w:sz w:val="24"/>
          <w:szCs w:val="24"/>
        </w:rPr>
        <w:t>- 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  <w:r>
        <w:rPr>
          <w:rFonts w:ascii="Calibri" w:eastAsia="Times New Roman" w:hAnsi="Calibri" w:cs="Times New Roman"/>
        </w:rPr>
        <w:t>.</w:t>
      </w:r>
      <w:proofErr w:type="gramEnd"/>
    </w:p>
    <w:p w:rsidR="00EB018D" w:rsidRDefault="00EB018D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B53A1E" w:rsidRDefault="00B53A1E" w:rsidP="009C7823">
      <w:pPr>
        <w:pStyle w:val="a4"/>
      </w:pPr>
    </w:p>
    <w:p w:rsidR="003A00FA" w:rsidRDefault="003A00FA" w:rsidP="009C7823">
      <w:pPr>
        <w:pStyle w:val="a4"/>
      </w:pPr>
    </w:p>
    <w:p w:rsidR="003A00FA" w:rsidRDefault="003A00FA" w:rsidP="009C7823">
      <w:pPr>
        <w:pStyle w:val="a4"/>
      </w:pPr>
    </w:p>
    <w:p w:rsidR="00D02B7A" w:rsidRPr="00EB018D" w:rsidRDefault="00D02B7A" w:rsidP="009C7823">
      <w:pPr>
        <w:pStyle w:val="a4"/>
      </w:pPr>
    </w:p>
    <w:tbl>
      <w:tblPr>
        <w:tblW w:w="0" w:type="auto"/>
        <w:tblInd w:w="108" w:type="dxa"/>
        <w:tblLayout w:type="fixed"/>
        <w:tblLook w:val="04A0"/>
      </w:tblPr>
      <w:tblGrid>
        <w:gridCol w:w="2475"/>
        <w:gridCol w:w="7306"/>
      </w:tblGrid>
      <w:tr w:rsidR="00B53A1E" w:rsidRPr="00B53A1E" w:rsidTr="000226F1">
        <w:trPr>
          <w:trHeight w:val="115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B5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подпрограммы 1 </w:t>
            </w:r>
            <w:r w:rsidRPr="00B53A1E">
              <w:rPr>
                <w:rFonts w:ascii="Times New Roman" w:hAnsi="Times New Roman" w:cs="Times New Roman"/>
                <w:b/>
              </w:rPr>
              <w:t>муниципальной  программы Новогоряновского сельского поселения "Развитие информационной системы Новогоряновского сельского поселения Тейковского муниципального района Ивановской области"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Тип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val="en-US" w:eastAsia="ar-SA"/>
              </w:rPr>
            </w:pPr>
            <w:r w:rsidRPr="00B53A1E">
              <w:rPr>
                <w:rFonts w:ascii="Times New Roman" w:hAnsi="Times New Roman" w:cs="Times New Roman"/>
                <w:lang w:val="en-US"/>
              </w:rPr>
              <w:t>&lt;</w:t>
            </w:r>
            <w:r w:rsidRPr="00B53A1E">
              <w:rPr>
                <w:rFonts w:ascii="Times New Roman" w:hAnsi="Times New Roman" w:cs="Times New Roman"/>
              </w:rPr>
              <w:t xml:space="preserve"> Аналитическая</w:t>
            </w:r>
            <w:r w:rsidRPr="00B53A1E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Новогоряновского сельского поселения»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2014-2022 годы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Администрация Новогоряновского  сельского поселения Тейковского муниципального района Ивановской области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Цель 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системы муниципального управления в поселении;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и качества муниципальных услуг для граждан,  организаций;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информационной открытости о деятельности органов местного самоуправления;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и развитие информационных систем, </w:t>
            </w:r>
          </w:p>
          <w:p w:rsidR="00B53A1E" w:rsidRPr="00B53A1E" w:rsidRDefault="00B53A1E" w:rsidP="0002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A1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информационной безопасности муниципальной информационной системы и информационно-телекоммуникационной инфраструктуры. </w:t>
            </w:r>
          </w:p>
        </w:tc>
      </w:tr>
      <w:tr w:rsidR="00B53A1E" w:rsidRPr="00B53A1E" w:rsidTr="000226F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1E" w:rsidRPr="00B53A1E" w:rsidRDefault="00B53A1E" w:rsidP="000226F1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Объемы ресурсного обеспечения подпрограммы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B53A1E" w:rsidRPr="00B53A1E" w:rsidRDefault="00B53A1E" w:rsidP="000226F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53A1E">
              <w:rPr>
                <w:rFonts w:ascii="Times New Roman" w:hAnsi="Times New Roman" w:cs="Times New Roman"/>
                <w:lang w:eastAsia="ar-SA"/>
              </w:rPr>
              <w:t>Всего: 1086,2 тыс</w:t>
            </w:r>
            <w:proofErr w:type="gramStart"/>
            <w:r w:rsidRPr="00B53A1E"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  <w:lang w:eastAsia="ar-SA"/>
              </w:rPr>
              <w:t>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бюджет Новогоряновского сельского поселения  Тейковского муниципального района:</w:t>
            </w: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 xml:space="preserve">2014 год– 197,8 тыс. </w:t>
            </w:r>
            <w:proofErr w:type="spellStart"/>
            <w:r w:rsidRPr="00B53A1E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  - 180,6 тыс. 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2</w:t>
            </w:r>
            <w:r w:rsidRPr="00B53A1E">
              <w:rPr>
                <w:rFonts w:ascii="Times New Roman" w:hAnsi="Times New Roman" w:cs="Times New Roman"/>
              </w:rPr>
              <w:t>016 год  - 142,8 тыс. 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 – 69,3 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2018 год – 255,7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2019год –  80,0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2020год – 80,0 тыс.руб.                                                                                                  2021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B53A1E">
              <w:rPr>
                <w:rFonts w:ascii="Times New Roman" w:hAnsi="Times New Roman" w:cs="Times New Roman"/>
              </w:rPr>
              <w:t>-80,0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2022год </w:t>
            </w:r>
            <w:r w:rsidRPr="00B53A1E">
              <w:rPr>
                <w:rFonts w:ascii="Times New Roman" w:hAnsi="Times New Roman" w:cs="Times New Roman"/>
              </w:rPr>
              <w:t xml:space="preserve"> – 0,0 тыс.руб.</w:t>
            </w: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районный бюджет</w:t>
            </w: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2014 год -0,00 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2016 год- 0,00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 –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2018 год-0,00 тыс.руб.</w:t>
            </w:r>
          </w:p>
          <w:p w:rsid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3A1E" w:rsidRPr="00B53A1E" w:rsidRDefault="00B53A1E" w:rsidP="00B53A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2019-2022гг – 0,0 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</w:p>
          <w:p w:rsidR="00B53A1E" w:rsidRPr="00B53A1E" w:rsidRDefault="00B53A1E" w:rsidP="00B53A1E">
            <w:pPr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областной бюджет: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2014 год -0,00тыс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2016 год –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2018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2019-2022гг – 0,0 тыс.руб.</w:t>
            </w:r>
          </w:p>
          <w:p w:rsidR="00B53A1E" w:rsidRPr="00B53A1E" w:rsidRDefault="00B53A1E" w:rsidP="000226F1">
            <w:pPr>
              <w:rPr>
                <w:rFonts w:ascii="Times New Roman" w:hAnsi="Times New Roman" w:cs="Times New Roman"/>
              </w:rPr>
            </w:pPr>
            <w:r w:rsidRPr="00B53A1E">
              <w:rPr>
                <w:rFonts w:ascii="Times New Roman" w:hAnsi="Times New Roman" w:cs="Times New Roman"/>
              </w:rPr>
              <w:t>- федеральный бюджет: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2014 год -0,00тыс</w:t>
            </w:r>
            <w:proofErr w:type="gramStart"/>
            <w:r w:rsidRPr="00B53A1E">
              <w:rPr>
                <w:rFonts w:ascii="Times New Roman" w:hAnsi="Times New Roman" w:cs="Times New Roman"/>
              </w:rPr>
              <w:t>.р</w:t>
            </w:r>
            <w:proofErr w:type="gramEnd"/>
            <w:r w:rsidRPr="00B53A1E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2015 год-0,00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2016 год -0,00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2017 год – 0,00 тыс.руб.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 xml:space="preserve">2018год-0,00 </w:t>
            </w:r>
            <w:proofErr w:type="spellStart"/>
            <w:r w:rsidRPr="00B53A1E"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B53A1E">
              <w:rPr>
                <w:rFonts w:ascii="Times New Roman" w:hAnsi="Times New Roman" w:cs="Times New Roman"/>
              </w:rPr>
              <w:t>2019-2022гг-0,0 тыс.руб.</w:t>
            </w:r>
          </w:p>
        </w:tc>
      </w:tr>
    </w:tbl>
    <w:p w:rsidR="00B53A1E" w:rsidRDefault="00B53A1E" w:rsidP="00576F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6F1E" w:rsidRPr="00E56F15" w:rsidRDefault="00576F1E" w:rsidP="00576F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6F15">
        <w:rPr>
          <w:rFonts w:ascii="Times New Roman" w:hAnsi="Times New Roman" w:cs="Times New Roman"/>
          <w:b/>
          <w:bCs/>
          <w:sz w:val="24"/>
          <w:szCs w:val="24"/>
        </w:rPr>
        <w:t>2. Содержание проблемы и обоснование необходимости</w:t>
      </w:r>
    </w:p>
    <w:p w:rsidR="00576F1E" w:rsidRPr="00E56F15" w:rsidRDefault="00576F1E" w:rsidP="00576F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F15">
        <w:rPr>
          <w:rFonts w:ascii="Times New Roman" w:hAnsi="Times New Roman" w:cs="Times New Roman"/>
          <w:b/>
          <w:bCs/>
          <w:sz w:val="24"/>
          <w:szCs w:val="24"/>
        </w:rPr>
        <w:t>ее решения программно-целевым методом</w:t>
      </w:r>
    </w:p>
    <w:p w:rsidR="00576F1E" w:rsidRPr="00E56F15" w:rsidRDefault="00576F1E" w:rsidP="00576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F1E" w:rsidRPr="00E56F15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37A98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E56F15">
        <w:rPr>
          <w:rFonts w:ascii="Times New Roman" w:hAnsi="Times New Roman" w:cs="Times New Roman"/>
          <w:sz w:val="24"/>
          <w:szCs w:val="24"/>
        </w:rPr>
        <w:t>разработана в с</w:t>
      </w:r>
      <w:r>
        <w:rPr>
          <w:rFonts w:ascii="Times New Roman" w:hAnsi="Times New Roman" w:cs="Times New Roman"/>
          <w:sz w:val="24"/>
          <w:szCs w:val="24"/>
        </w:rPr>
        <w:t>оответствии с повышением спроса граждан на социально-значимую</w:t>
      </w:r>
      <w:r w:rsidRPr="00E56F15">
        <w:rPr>
          <w:rFonts w:ascii="Times New Roman" w:hAnsi="Times New Roman" w:cs="Times New Roman"/>
          <w:sz w:val="24"/>
          <w:szCs w:val="24"/>
        </w:rPr>
        <w:t xml:space="preserve"> информацию. По мере развития информационных и телекоммуникационных технологий органы местного самоуправления все чаще используют их для организации эффективного управления своей деятельностью и повышения качества услуг, предоставляемых населению. Проблема отсутствия унифицированной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инфраструктуры в области обмена данными </w:t>
      </w:r>
      <w:r w:rsidRPr="00E56F15">
        <w:rPr>
          <w:rFonts w:ascii="Times New Roman" w:hAnsi="Times New Roman" w:cs="Times New Roman"/>
          <w:sz w:val="24"/>
          <w:szCs w:val="24"/>
        </w:rPr>
        <w:t>в электронном в</w:t>
      </w:r>
      <w:r>
        <w:rPr>
          <w:rFonts w:ascii="Times New Roman" w:hAnsi="Times New Roman" w:cs="Times New Roman"/>
          <w:sz w:val="24"/>
          <w:szCs w:val="24"/>
        </w:rPr>
        <w:t>иде в Новогоряновском сельском поселении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становится все более актуальной. </w:t>
      </w:r>
    </w:p>
    <w:p w:rsidR="00576F1E" w:rsidRPr="00E56F15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Новогоряновском сельском поселении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созданы предпосылки для совершенствования работы муниципального аппарата на основе информационных и телекоммуникационных технологий. Организованы автоматизированные рабочие места, обеспечивающие доступ к сети Интернет, создан официальный сайт Администрации, на котором размещается нормативная, справочная, новостная информация, связанная</w:t>
      </w:r>
      <w:r>
        <w:rPr>
          <w:rFonts w:ascii="Times New Roman" w:hAnsi="Times New Roman" w:cs="Times New Roman"/>
          <w:sz w:val="24"/>
          <w:szCs w:val="24"/>
        </w:rPr>
        <w:t xml:space="preserve"> с деятельностью Администрации</w:t>
      </w:r>
      <w:r w:rsidRPr="00E56F15">
        <w:rPr>
          <w:rFonts w:ascii="Times New Roman" w:hAnsi="Times New Roman" w:cs="Times New Roman"/>
          <w:sz w:val="24"/>
          <w:szCs w:val="24"/>
        </w:rPr>
        <w:t>, используется механизм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F15">
        <w:rPr>
          <w:rFonts w:ascii="Times New Roman" w:hAnsi="Times New Roman" w:cs="Times New Roman"/>
          <w:sz w:val="24"/>
          <w:szCs w:val="24"/>
        </w:rPr>
        <w:t xml:space="preserve"> Закупка программного обеспечения проводится с учетом открытых стандартов, что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обмениваться данными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с использованием различных информационных систем. В рамках реализации административной реформы ведется системная работа по описанию функций и процессов управления.</w:t>
      </w:r>
    </w:p>
    <w:p w:rsidR="00576F1E" w:rsidRDefault="00576F1E" w:rsidP="00576F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>Вместе с тем, несмотря на стремительный ро</w:t>
      </w:r>
      <w:proofErr w:type="gramStart"/>
      <w:r w:rsidRPr="00E56F15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E56F15">
        <w:rPr>
          <w:rFonts w:ascii="Times New Roman" w:hAnsi="Times New Roman" w:cs="Times New Roman"/>
          <w:sz w:val="24"/>
          <w:szCs w:val="24"/>
        </w:rPr>
        <w:t>оса на информационно-коммуникационные технологии,  их внедрение происходит не достаточно быстро. Результаты использования современных информационных средств носят локальный характер. На сегодняшний день отсутствует межведомственный канал связи,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е предприятия  поселения отстают от сельского поселения </w:t>
      </w:r>
      <w:r w:rsidRPr="00E56F15">
        <w:rPr>
          <w:rFonts w:ascii="Times New Roman" w:hAnsi="Times New Roman" w:cs="Times New Roman"/>
          <w:sz w:val="24"/>
          <w:szCs w:val="24"/>
        </w:rPr>
        <w:t xml:space="preserve"> по уровню информационно-технологического обеспечения административно-управленческих процессов, а также уровню развития информационно-телекоммуникационной инфраструктуры. Отсутствие комплексного подхода в этой области приводит к нерациональным бюджетным расходам. Основная доля бюджетных сре</w:t>
      </w:r>
      <w:proofErr w:type="gramStart"/>
      <w:r w:rsidRPr="00E56F1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56F15">
        <w:rPr>
          <w:rFonts w:ascii="Times New Roman" w:hAnsi="Times New Roman" w:cs="Times New Roman"/>
          <w:sz w:val="24"/>
          <w:szCs w:val="24"/>
        </w:rPr>
        <w:t>иходится на приобретение и установку компьютерного и серверного оборудования, что свидетельствует лишь о доминировании технологического подхода к решению задач информатизации.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полно используются возможности</w:t>
      </w:r>
      <w:r w:rsidRPr="00E56F15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документооборота. </w:t>
      </w:r>
    </w:p>
    <w:p w:rsidR="00576F1E" w:rsidRPr="00E56F15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 xml:space="preserve">Существующий уровень технической проработки указанных вопросов позволяет рассчитывать на успешную реализацию </w:t>
      </w:r>
      <w:r w:rsidR="00975976">
        <w:rPr>
          <w:rFonts w:ascii="Times New Roman" w:hAnsi="Times New Roman" w:cs="Times New Roman"/>
          <w:sz w:val="24"/>
          <w:szCs w:val="24"/>
        </w:rPr>
        <w:t>подпрограммы</w:t>
      </w:r>
      <w:r w:rsidRPr="00E56F15">
        <w:rPr>
          <w:rFonts w:ascii="Times New Roman" w:hAnsi="Times New Roman" w:cs="Times New Roman"/>
          <w:sz w:val="24"/>
          <w:szCs w:val="24"/>
        </w:rPr>
        <w:t xml:space="preserve"> при условии организационного и </w:t>
      </w:r>
      <w:r w:rsidRPr="00E56F15">
        <w:rPr>
          <w:rFonts w:ascii="Times New Roman" w:hAnsi="Times New Roman" w:cs="Times New Roman"/>
          <w:sz w:val="24"/>
          <w:szCs w:val="24"/>
        </w:rPr>
        <w:lastRenderedPageBreak/>
        <w:t xml:space="preserve">ресурсного обеспечения. В результате выполнения </w:t>
      </w:r>
      <w:r w:rsidR="00975976">
        <w:rPr>
          <w:rFonts w:ascii="Times New Roman" w:hAnsi="Times New Roman" w:cs="Times New Roman"/>
          <w:sz w:val="24"/>
          <w:szCs w:val="24"/>
        </w:rPr>
        <w:t>подпрограммы</w:t>
      </w:r>
      <w:r w:rsidRPr="00E56F15">
        <w:rPr>
          <w:rFonts w:ascii="Times New Roman" w:hAnsi="Times New Roman" w:cs="Times New Roman"/>
          <w:sz w:val="24"/>
          <w:szCs w:val="24"/>
        </w:rPr>
        <w:t xml:space="preserve"> будет значительно повышена результативность расходования бюджетных средств, выделяемых на внедрение информационных и телекоммуникационных технологий. </w:t>
      </w:r>
    </w:p>
    <w:p w:rsidR="00576F1E" w:rsidRDefault="00576F1E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6F15">
        <w:rPr>
          <w:rFonts w:ascii="Times New Roman" w:hAnsi="Times New Roman" w:cs="Times New Roman"/>
          <w:sz w:val="24"/>
          <w:szCs w:val="24"/>
        </w:rPr>
        <w:t xml:space="preserve">Использование программно-целевого метода позволит минимизировать возможные риски, связанные с реализацией мероприятий </w:t>
      </w:r>
      <w:r w:rsidR="00975976">
        <w:rPr>
          <w:rFonts w:ascii="Times New Roman" w:hAnsi="Times New Roman" w:cs="Times New Roman"/>
          <w:sz w:val="24"/>
          <w:szCs w:val="24"/>
        </w:rPr>
        <w:t>подпрограммы</w:t>
      </w:r>
      <w:r w:rsidRPr="00E56F15">
        <w:rPr>
          <w:rFonts w:ascii="Times New Roman" w:hAnsi="Times New Roman" w:cs="Times New Roman"/>
          <w:sz w:val="24"/>
          <w:szCs w:val="24"/>
        </w:rPr>
        <w:t>.</w:t>
      </w:r>
    </w:p>
    <w:p w:rsidR="007A4995" w:rsidRDefault="007A4995" w:rsidP="00576F1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A4995" w:rsidRDefault="007A4995" w:rsidP="007A499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8D5736">
        <w:rPr>
          <w:rFonts w:ascii="Times New Roman" w:hAnsi="Times New Roman" w:cs="Times New Roman"/>
          <w:b/>
        </w:rPr>
        <w:t xml:space="preserve">Ожидаемые результаты  реализации </w:t>
      </w:r>
      <w:r w:rsidR="00037A98">
        <w:rPr>
          <w:rFonts w:ascii="Times New Roman" w:hAnsi="Times New Roman" w:cs="Times New Roman"/>
          <w:b/>
        </w:rPr>
        <w:t>под</w:t>
      </w:r>
      <w:r w:rsidRPr="008D5736">
        <w:rPr>
          <w:rFonts w:ascii="Times New Roman" w:hAnsi="Times New Roman" w:cs="Times New Roman"/>
          <w:b/>
        </w:rPr>
        <w:t>программы</w:t>
      </w:r>
    </w:p>
    <w:p w:rsidR="007A4995" w:rsidRPr="00D00644" w:rsidRDefault="007A4995" w:rsidP="007A499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A4995" w:rsidRPr="007A4995" w:rsidRDefault="007A4995" w:rsidP="007A4995">
      <w:pPr>
        <w:pStyle w:val="a4"/>
        <w:rPr>
          <w:color w:val="333333"/>
        </w:rPr>
      </w:pPr>
      <w:r w:rsidRPr="007A4995">
        <w:rPr>
          <w:color w:val="333333"/>
        </w:rPr>
        <w:t xml:space="preserve">В ходе реализации настоящей </w:t>
      </w:r>
      <w:r w:rsidR="00037A98">
        <w:rPr>
          <w:color w:val="333333"/>
        </w:rPr>
        <w:t>подпрограммы</w:t>
      </w:r>
      <w:r w:rsidRPr="007A4995">
        <w:rPr>
          <w:color w:val="333333"/>
        </w:rPr>
        <w:t xml:space="preserve"> ожидаются следующие результаты:</w:t>
      </w:r>
    </w:p>
    <w:p w:rsidR="007A4995" w:rsidRPr="007A4995" w:rsidRDefault="007A4995" w:rsidP="00037A98">
      <w:pPr>
        <w:pStyle w:val="a4"/>
        <w:rPr>
          <w:color w:val="333333"/>
        </w:rPr>
      </w:pPr>
      <w:r w:rsidRPr="007A4995">
        <w:rPr>
          <w:color w:val="333333"/>
        </w:rPr>
        <w:t>- совершенствование механизма управления работами по информатизации, включая порядок разработки и исполнения планов;</w:t>
      </w:r>
      <w:r w:rsidR="00037A98">
        <w:rPr>
          <w:color w:val="333333"/>
        </w:rPr>
        <w:t xml:space="preserve">                                                                                                     </w:t>
      </w:r>
      <w:r w:rsidRPr="007A4995">
        <w:rPr>
          <w:color w:val="333333"/>
        </w:rPr>
        <w:t>- санкционированный доступ к информационным ресурсам за счет полного и непротиворечивого нормативно-правового обеспечения;</w:t>
      </w:r>
      <w:r w:rsidR="00037A98">
        <w:rPr>
          <w:color w:val="333333"/>
        </w:rPr>
        <w:t xml:space="preserve">                                                                               </w:t>
      </w:r>
      <w:r w:rsidRPr="007A4995">
        <w:rPr>
          <w:color w:val="333333"/>
        </w:rPr>
        <w:t>- оптимизация административно-управленческих процессов, повышение качества работы, за счет внедрения систем автоматизации делопроизводства и электронного документооборота;</w:t>
      </w:r>
      <w:r w:rsidR="00037A98">
        <w:rPr>
          <w:color w:val="333333"/>
        </w:rPr>
        <w:t xml:space="preserve">                                                                                                                                              </w:t>
      </w:r>
      <w:r w:rsidRPr="007A4995">
        <w:rPr>
          <w:color w:val="333333"/>
        </w:rPr>
        <w:t xml:space="preserve">- повышение степени информационной открытости органов местного самоуправления для населения </w:t>
      </w:r>
      <w:r w:rsidR="00037A98">
        <w:rPr>
          <w:color w:val="333333"/>
        </w:rPr>
        <w:t>Новогоряновского сельского поселения</w:t>
      </w:r>
      <w:proofErr w:type="gramStart"/>
      <w:r w:rsidRPr="007A4995">
        <w:rPr>
          <w:color w:val="333333"/>
        </w:rPr>
        <w:t xml:space="preserve"> ,</w:t>
      </w:r>
      <w:proofErr w:type="gramEnd"/>
      <w:r w:rsidRPr="007A4995">
        <w:rPr>
          <w:color w:val="333333"/>
        </w:rPr>
        <w:t xml:space="preserve"> повышение качества муниципальных услуг за счет широкого использования информационно-коммуникационных технологий в своей деятельности.</w:t>
      </w:r>
    </w:p>
    <w:p w:rsidR="007A4995" w:rsidRDefault="007A4995" w:rsidP="00037A98">
      <w:pPr>
        <w:pStyle w:val="a4"/>
        <w:rPr>
          <w:color w:val="333333"/>
        </w:rPr>
      </w:pPr>
      <w:r w:rsidRPr="007A4995">
        <w:rPr>
          <w:color w:val="333333"/>
        </w:rPr>
        <w:t xml:space="preserve">Развитие </w:t>
      </w:r>
      <w:r w:rsidR="00037A98">
        <w:rPr>
          <w:color w:val="333333"/>
        </w:rPr>
        <w:t>информационного общества</w:t>
      </w:r>
      <w:r w:rsidRPr="007A4995">
        <w:rPr>
          <w:color w:val="333333"/>
        </w:rPr>
        <w:t xml:space="preserve"> администрации </w:t>
      </w:r>
      <w:r w:rsidR="00037A98">
        <w:rPr>
          <w:color w:val="333333"/>
        </w:rPr>
        <w:t>Новогоряновского сельского поселения</w:t>
      </w:r>
      <w:r w:rsidRPr="007A4995">
        <w:rPr>
          <w:color w:val="333333"/>
        </w:rPr>
        <w:t xml:space="preserve">  повысит эффективность управления всеми сферами деятельности администрации </w:t>
      </w:r>
      <w:r w:rsidR="00037A98">
        <w:rPr>
          <w:color w:val="333333"/>
        </w:rPr>
        <w:t xml:space="preserve">Новогоряновского сельского поселения </w:t>
      </w:r>
      <w:r w:rsidRPr="007A4995">
        <w:rPr>
          <w:color w:val="333333"/>
        </w:rPr>
        <w:t xml:space="preserve"> на всех уровнях, позволит интегрировать муниципальные информационные ресурсы в единое информационное пространство, будет способствовать совершенствованию информационного обслуживания населения, обеспечит благоприятный климат для экономического развития </w:t>
      </w:r>
      <w:r w:rsidR="00037A98">
        <w:rPr>
          <w:color w:val="333333"/>
        </w:rPr>
        <w:t>Новогоряновского сельского поселения</w:t>
      </w:r>
      <w:r w:rsidRPr="007A4995">
        <w:rPr>
          <w:color w:val="333333"/>
        </w:rPr>
        <w:t xml:space="preserve"> и формирование  инвестиционной привлекательности поселения.</w:t>
      </w: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</w:pPr>
    </w:p>
    <w:p w:rsidR="00037A98" w:rsidRDefault="00037A98" w:rsidP="007A4995">
      <w:pPr>
        <w:pStyle w:val="a4"/>
        <w:rPr>
          <w:color w:val="333333"/>
        </w:rPr>
        <w:sectPr w:rsidR="00037A98" w:rsidSect="003A00FA"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037A98" w:rsidRPr="007A4995" w:rsidRDefault="00037A98" w:rsidP="007A4995">
      <w:pPr>
        <w:pStyle w:val="a4"/>
        <w:rPr>
          <w:color w:val="333333"/>
        </w:rPr>
      </w:pPr>
    </w:p>
    <w:p w:rsidR="00037A98" w:rsidRPr="00A10566" w:rsidRDefault="007A4995" w:rsidP="00037A9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r w:rsidRPr="007A4995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37A98" w:rsidRPr="00A10566">
        <w:rPr>
          <w:rFonts w:ascii="Times New Roman" w:hAnsi="Times New Roman" w:cs="Times New Roman"/>
        </w:rPr>
        <w:t xml:space="preserve">                                                                                                          Ресурсное обеспечение</w:t>
      </w:r>
    </w:p>
    <w:p w:rsidR="00037A98" w:rsidRPr="00A10566" w:rsidRDefault="00037A98" w:rsidP="00037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10566">
        <w:rPr>
          <w:rFonts w:ascii="Times New Roman" w:hAnsi="Times New Roman" w:cs="Times New Roman"/>
        </w:rPr>
        <w:t>реализации муниципальной  программы Новогоряновского сельского поселения</w:t>
      </w:r>
    </w:p>
    <w:p w:rsidR="00037A98" w:rsidRPr="00A10566" w:rsidRDefault="00037A98" w:rsidP="00037A98">
      <w:pPr>
        <w:pStyle w:val="a4"/>
        <w:spacing w:before="0" w:beforeAutospacing="0" w:after="0" w:afterAutospacing="0"/>
        <w:jc w:val="center"/>
      </w:pPr>
      <w:r w:rsidRPr="00A10566">
        <w:t xml:space="preserve"> «Развитие </w:t>
      </w:r>
      <w:r>
        <w:t>информационной системы</w:t>
      </w:r>
      <w:r w:rsidRPr="00A10566">
        <w:t xml:space="preserve"> Новогоряновского сельского поселения</w:t>
      </w:r>
    </w:p>
    <w:p w:rsidR="00037A98" w:rsidRPr="00A10566" w:rsidRDefault="00037A98" w:rsidP="00037A98">
      <w:pPr>
        <w:pStyle w:val="a4"/>
        <w:spacing w:before="0" w:beforeAutospacing="0" w:after="0" w:afterAutospacing="0"/>
        <w:jc w:val="center"/>
      </w:pPr>
      <w:r w:rsidRPr="00A10566">
        <w:t>Тейковского муниципального района Ивановской области »</w:t>
      </w:r>
    </w:p>
    <w:p w:rsidR="00037A98" w:rsidRPr="00A10566" w:rsidRDefault="00037A98" w:rsidP="00037A98">
      <w:pPr>
        <w:widowControl w:val="0"/>
        <w:autoSpaceDE w:val="0"/>
        <w:autoSpaceDN w:val="0"/>
        <w:adjustRightInd w:val="0"/>
        <w:jc w:val="center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18"/>
        <w:gridCol w:w="2879"/>
        <w:gridCol w:w="2015"/>
        <w:gridCol w:w="559"/>
        <w:gridCol w:w="567"/>
        <w:gridCol w:w="993"/>
        <w:gridCol w:w="425"/>
        <w:gridCol w:w="567"/>
        <w:gridCol w:w="709"/>
        <w:gridCol w:w="708"/>
        <w:gridCol w:w="709"/>
        <w:gridCol w:w="567"/>
        <w:gridCol w:w="567"/>
        <w:gridCol w:w="567"/>
        <w:gridCol w:w="567"/>
      </w:tblGrid>
      <w:tr w:rsidR="009446A6" w:rsidRPr="00A10566" w:rsidTr="009C6828">
        <w:trPr>
          <w:trHeight w:val="996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Статус      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Муниципальной     программы,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Подпрограммы,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 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Исполнитель.    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 Код бюджетной классификации    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</w:tr>
      <w:tr w:rsidR="009446A6" w:rsidRPr="00A10566" w:rsidTr="009446A6">
        <w:trPr>
          <w:trHeight w:val="264"/>
        </w:trPr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 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Рз.Пр</w:t>
            </w:r>
            <w:proofErr w:type="spellEnd"/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9446A6" w:rsidRPr="00A10566" w:rsidTr="009446A6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 программа    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</w:t>
            </w:r>
          </w:p>
          <w:p w:rsidR="009446A6" w:rsidRPr="00BF62D6" w:rsidRDefault="009446A6" w:rsidP="00BF6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Новогоряновского  сельского поселения Тейковского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униципального района Ивановской 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62D6">
              <w:rPr>
                <w:rFonts w:ascii="Times New Roman" w:hAnsi="Times New Roman" w:cs="Times New Roman"/>
                <w:sz w:val="16"/>
                <w:szCs w:val="16"/>
              </w:rPr>
              <w:t>«Развитие информационной системы Новогоряновского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62D6">
              <w:rPr>
                <w:rFonts w:ascii="Times New Roman" w:hAnsi="Times New Roman" w:cs="Times New Roman"/>
                <w:sz w:val="16"/>
                <w:szCs w:val="16"/>
              </w:rPr>
              <w:t>Тейковского муниципального района Ивановской области»</w:t>
            </w: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073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446A6" w:rsidRPr="00A10566" w:rsidTr="009446A6">
        <w:trPr>
          <w:trHeight w:val="1769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Новогоряновского сельского поселения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A6" w:rsidRPr="00A10566" w:rsidTr="009446A6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 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Развитие информационного общества </w:t>
            </w:r>
            <w:r w:rsidRPr="00A10566">
              <w:rPr>
                <w:sz w:val="16"/>
                <w:szCs w:val="16"/>
              </w:rPr>
              <w:t xml:space="preserve">Новогоряновского сельского поселения»  муниципальной программы Новогоряновского сельского поселения </w:t>
            </w:r>
          </w:p>
          <w:p w:rsidR="009446A6" w:rsidRPr="00A10566" w:rsidRDefault="009446A6" w:rsidP="0097597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«Развитие </w:t>
            </w:r>
            <w:r>
              <w:rPr>
                <w:sz w:val="16"/>
                <w:szCs w:val="16"/>
              </w:rPr>
              <w:t xml:space="preserve">информационной системы </w:t>
            </w:r>
            <w:r w:rsidRPr="00A10566">
              <w:rPr>
                <w:sz w:val="16"/>
                <w:szCs w:val="16"/>
              </w:rPr>
              <w:t>Новогоряновского сельского поселения</w:t>
            </w:r>
          </w:p>
          <w:p w:rsidR="009446A6" w:rsidRPr="00A10566" w:rsidRDefault="009446A6" w:rsidP="0097597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Тейковского муниципального района Ивановской области</w:t>
            </w:r>
            <w:r w:rsidRPr="00A10566">
              <w:rPr>
                <w:sz w:val="16"/>
                <w:szCs w:val="16"/>
              </w:rPr>
              <w:t>»</w:t>
            </w:r>
          </w:p>
          <w:p w:rsidR="009446A6" w:rsidRPr="00A10566" w:rsidRDefault="009446A6" w:rsidP="0047498D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073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446A6" w:rsidRPr="00A10566" w:rsidTr="009446A6">
        <w:trPr>
          <w:trHeight w:val="640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6A6" w:rsidRPr="00A10566" w:rsidRDefault="009446A6" w:rsidP="0047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Новогоряновского сельского поселения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6A6" w:rsidRPr="00A10566" w:rsidTr="009446A6">
        <w:trPr>
          <w:trHeight w:val="966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174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 </w:t>
            </w:r>
            <w:r w:rsidRPr="003A00FA">
              <w:rPr>
                <w:rFonts w:ascii="Times New Roman" w:hAnsi="Times New Roman" w:cs="Times New Roman"/>
                <w:sz w:val="16"/>
                <w:szCs w:val="16"/>
              </w:rPr>
              <w:t>«.</w:t>
            </w:r>
            <w:r w:rsidRPr="003A00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информационной и телекоммуникационной инфраструктуры»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Новогоряновского сельского поселения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073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174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474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446A6" w:rsidRPr="00A10566" w:rsidTr="009446A6">
        <w:trPr>
          <w:trHeight w:val="85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174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</w:t>
            </w: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174C8F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 xml:space="preserve"> </w:t>
            </w:r>
            <w:r w:rsidRPr="00174C8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Развитие телекоммуникационной </w:t>
            </w:r>
            <w:r w:rsidRPr="00174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телекоммуникационной </w:t>
            </w:r>
            <w:r w:rsidRPr="00174C8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инфраструктуры</w:t>
            </w: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Новогоряновского сельского поселения     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 xml:space="preserve">   073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0310120060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56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6A6" w:rsidRPr="00A1056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A6" w:rsidRDefault="009446A6" w:rsidP="00604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</w:tbl>
    <w:p w:rsidR="00037A98" w:rsidRPr="00A10566" w:rsidRDefault="00037A98" w:rsidP="00037A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37A98" w:rsidRPr="00A10566" w:rsidRDefault="00037A98" w:rsidP="00037A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37A98" w:rsidRPr="00A10566" w:rsidRDefault="00037A98" w:rsidP="00037A9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37A98" w:rsidRPr="00A10566" w:rsidRDefault="00037A98" w:rsidP="00037A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A98" w:rsidRPr="00A10566" w:rsidRDefault="00037A98" w:rsidP="00037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A98" w:rsidRPr="00A10566" w:rsidRDefault="00037A98" w:rsidP="00037A98">
      <w:pPr>
        <w:pStyle w:val="a4"/>
        <w:shd w:val="clear" w:color="auto" w:fill="FFFFFF"/>
        <w:jc w:val="both"/>
      </w:pPr>
    </w:p>
    <w:p w:rsidR="00037A98" w:rsidRPr="00A10566" w:rsidRDefault="00037A98" w:rsidP="00037A98">
      <w:pPr>
        <w:rPr>
          <w:rFonts w:ascii="Times New Roman" w:hAnsi="Times New Roman" w:cs="Times New Roman"/>
          <w:sz w:val="24"/>
          <w:szCs w:val="24"/>
        </w:rPr>
      </w:pPr>
    </w:p>
    <w:p w:rsidR="007A4995" w:rsidRPr="007A4995" w:rsidRDefault="007A4995" w:rsidP="007A4995">
      <w:pPr>
        <w:pStyle w:val="a4"/>
        <w:rPr>
          <w:color w:val="333333"/>
        </w:rPr>
      </w:pPr>
    </w:p>
    <w:p w:rsidR="007A4995" w:rsidRPr="007A4995" w:rsidRDefault="007A4995" w:rsidP="007A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995">
        <w:rPr>
          <w:rFonts w:ascii="Times New Roman" w:hAnsi="Times New Roman" w:cs="Times New Roman"/>
          <w:sz w:val="24"/>
          <w:szCs w:val="24"/>
        </w:rPr>
        <w:t>;</w:t>
      </w:r>
    </w:p>
    <w:p w:rsidR="007A4995" w:rsidRPr="007A4995" w:rsidRDefault="007A4995" w:rsidP="007A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995" w:rsidRPr="007A4995" w:rsidRDefault="007A4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4995" w:rsidRPr="007A4995" w:rsidSect="004D523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52B"/>
    <w:rsid w:val="00037A98"/>
    <w:rsid w:val="00087F15"/>
    <w:rsid w:val="000E4238"/>
    <w:rsid w:val="0012352B"/>
    <w:rsid w:val="00150596"/>
    <w:rsid w:val="00174C8F"/>
    <w:rsid w:val="00223D25"/>
    <w:rsid w:val="00224C00"/>
    <w:rsid w:val="003A00FA"/>
    <w:rsid w:val="004C585E"/>
    <w:rsid w:val="004D5231"/>
    <w:rsid w:val="00576F1E"/>
    <w:rsid w:val="005E37B0"/>
    <w:rsid w:val="00643CA6"/>
    <w:rsid w:val="007A4995"/>
    <w:rsid w:val="00902855"/>
    <w:rsid w:val="009446A6"/>
    <w:rsid w:val="00975976"/>
    <w:rsid w:val="00996259"/>
    <w:rsid w:val="009A5C40"/>
    <w:rsid w:val="009C7823"/>
    <w:rsid w:val="00A42A05"/>
    <w:rsid w:val="00AC0D01"/>
    <w:rsid w:val="00B05940"/>
    <w:rsid w:val="00B53A1E"/>
    <w:rsid w:val="00BE549C"/>
    <w:rsid w:val="00BF62D6"/>
    <w:rsid w:val="00C60429"/>
    <w:rsid w:val="00C96D2C"/>
    <w:rsid w:val="00D02B7A"/>
    <w:rsid w:val="00E3737F"/>
    <w:rsid w:val="00E66BC6"/>
    <w:rsid w:val="00EB018D"/>
    <w:rsid w:val="00EB139E"/>
    <w:rsid w:val="00E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23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3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12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352B"/>
    <w:rPr>
      <w:color w:val="0000FF"/>
      <w:u w:val="single"/>
    </w:rPr>
  </w:style>
  <w:style w:type="character" w:customStyle="1" w:styleId="highlight">
    <w:name w:val="highlight"/>
    <w:basedOn w:val="a0"/>
    <w:rsid w:val="0012352B"/>
  </w:style>
  <w:style w:type="character" w:customStyle="1" w:styleId="apple-converted-space">
    <w:name w:val="apple-converted-space"/>
    <w:basedOn w:val="a0"/>
    <w:rsid w:val="0012352B"/>
  </w:style>
  <w:style w:type="character" w:styleId="a6">
    <w:name w:val="Strong"/>
    <w:basedOn w:val="a0"/>
    <w:uiPriority w:val="22"/>
    <w:qFormat/>
    <w:rsid w:val="009C7823"/>
    <w:rPr>
      <w:b/>
      <w:bCs/>
    </w:rPr>
  </w:style>
  <w:style w:type="paragraph" w:customStyle="1" w:styleId="western">
    <w:name w:val="western"/>
    <w:basedOn w:val="a"/>
    <w:rsid w:val="00EE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EB018D"/>
    <w:rPr>
      <w:rFonts w:ascii="StarSymbol" w:hAnsi="StarSymbol" w:cs="StarSymbol"/>
      <w:sz w:val="18"/>
      <w:szCs w:val="18"/>
    </w:rPr>
  </w:style>
  <w:style w:type="paragraph" w:customStyle="1" w:styleId="a7">
    <w:name w:val="Знак"/>
    <w:basedOn w:val="a"/>
    <w:rsid w:val="00576F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B53A1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197E-3A69-4BB0-A76F-B7A3A287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13</cp:revision>
  <cp:lastPrinted>2013-11-26T11:41:00Z</cp:lastPrinted>
  <dcterms:created xsi:type="dcterms:W3CDTF">2013-10-31T11:00:00Z</dcterms:created>
  <dcterms:modified xsi:type="dcterms:W3CDTF">2019-02-06T11:50:00Z</dcterms:modified>
</cp:coreProperties>
</file>